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Lines="0" w:after="0" w:afterLines="0"/>
        <w:rPr>
          <w:rFonts w:ascii="宋体" w:hAnsi="宋体" w:cs="Times New Roman"/>
          <w:b/>
        </w:rPr>
      </w:pPr>
    </w:p>
    <w:p>
      <w:pPr>
        <w:rPr>
          <w:rFonts w:ascii="宋体" w:hAnsi="宋体" w:eastAsia="仿宋"/>
          <w:sz w:val="30"/>
          <w:szCs w:val="30"/>
        </w:rPr>
      </w:pPr>
    </w:p>
    <w:p>
      <w:pPr>
        <w:rPr>
          <w:rFonts w:ascii="宋体" w:hAnsi="宋体" w:eastAsia="仿宋"/>
          <w:sz w:val="44"/>
          <w:szCs w:val="44"/>
        </w:rPr>
      </w:pPr>
    </w:p>
    <w:p>
      <w:pPr>
        <w:rPr>
          <w:rFonts w:ascii="宋体" w:hAnsi="宋体" w:eastAsia="仿宋"/>
          <w:sz w:val="44"/>
          <w:szCs w:val="44"/>
        </w:rPr>
      </w:pPr>
    </w:p>
    <w:p>
      <w:pPr>
        <w:rPr>
          <w:rFonts w:ascii="宋体" w:hAnsi="宋体" w:eastAsia="仿宋"/>
          <w:sz w:val="44"/>
          <w:szCs w:val="44"/>
        </w:rPr>
      </w:pPr>
    </w:p>
    <w:p>
      <w:pPr>
        <w:jc w:val="center"/>
        <w:rPr>
          <w:rFonts w:ascii="宋体" w:hAnsi="宋体" w:eastAsia="方正小标宋简体"/>
          <w:sz w:val="44"/>
          <w:szCs w:val="44"/>
        </w:rPr>
      </w:pPr>
      <w:bookmarkStart w:id="0" w:name="OLE_LINK1"/>
      <w:bookmarkStart w:id="1" w:name="_Toc2085077807_WPSOffice_Level2"/>
      <w:r>
        <w:rPr>
          <w:rFonts w:hint="eastAsia" w:ascii="宋体" w:hAnsi="宋体" w:eastAsia="方正小标宋简体"/>
          <w:sz w:val="44"/>
          <w:szCs w:val="44"/>
        </w:rPr>
        <w:t xml:space="preserve">《自然灾害综合风险评估技术规范 </w:t>
      </w:r>
    </w:p>
    <w:p>
      <w:pPr>
        <w:jc w:val="center"/>
        <w:rPr>
          <w:rFonts w:ascii="宋体" w:hAnsi="宋体" w:eastAsia="方正小标宋简体"/>
          <w:sz w:val="44"/>
          <w:szCs w:val="44"/>
        </w:rPr>
      </w:pPr>
      <w:r>
        <w:rPr>
          <w:rFonts w:hint="eastAsia" w:ascii="宋体" w:hAnsi="宋体" w:eastAsia="方正小标宋简体"/>
          <w:sz w:val="44"/>
          <w:szCs w:val="44"/>
        </w:rPr>
        <w:t>第1部分：房屋建筑》</w:t>
      </w:r>
    </w:p>
    <w:bookmarkEnd w:id="0"/>
    <w:p>
      <w:pPr>
        <w:jc w:val="center"/>
        <w:rPr>
          <w:rFonts w:ascii="仿宋" w:hAnsi="仿宋" w:eastAsia="仿宋" w:cs="仿宋"/>
          <w:sz w:val="32"/>
          <w:szCs w:val="32"/>
        </w:rPr>
      </w:pPr>
      <w:r>
        <w:rPr>
          <w:rFonts w:hint="eastAsia" w:ascii="仿宋" w:hAnsi="仿宋" w:eastAsia="仿宋" w:cs="仿宋"/>
          <w:sz w:val="32"/>
          <w:szCs w:val="32"/>
        </w:rPr>
        <w:t>（■征求意见稿</w:t>
      </w:r>
      <w:r>
        <w:rPr>
          <w:rFonts w:ascii="仿宋" w:hAnsi="仿宋" w:eastAsia="仿宋" w:cs="仿宋"/>
          <w:sz w:val="32"/>
          <w:szCs w:val="32"/>
        </w:rPr>
        <w:t xml:space="preserve">  </w:t>
      </w:r>
      <w:r>
        <w:rPr>
          <w:rFonts w:hint="eastAsia" w:ascii="仿宋" w:hAnsi="仿宋" w:eastAsia="仿宋" w:cs="仿宋"/>
          <w:sz w:val="32"/>
          <w:szCs w:val="32"/>
        </w:rPr>
        <w:t>□送审稿</w:t>
      </w:r>
      <w:r>
        <w:rPr>
          <w:rFonts w:ascii="仿宋" w:hAnsi="仿宋" w:eastAsia="仿宋" w:cs="仿宋"/>
          <w:sz w:val="32"/>
          <w:szCs w:val="32"/>
        </w:rPr>
        <w:t xml:space="preserve">  </w:t>
      </w:r>
      <w:r>
        <w:rPr>
          <w:rFonts w:hint="eastAsia" w:ascii="仿宋" w:hAnsi="仿宋" w:eastAsia="仿宋" w:cs="仿宋"/>
          <w:sz w:val="32"/>
          <w:szCs w:val="32"/>
        </w:rPr>
        <w:t>□报批稿）</w:t>
      </w:r>
    </w:p>
    <w:p>
      <w:pPr>
        <w:jc w:val="center"/>
        <w:rPr>
          <w:rFonts w:ascii="宋体" w:hAnsi="宋体" w:eastAsia="方正小标宋简体"/>
          <w:sz w:val="44"/>
          <w:szCs w:val="44"/>
        </w:rPr>
      </w:pPr>
    </w:p>
    <w:p>
      <w:pPr>
        <w:jc w:val="center"/>
        <w:rPr>
          <w:rFonts w:ascii="宋体" w:hAnsi="宋体" w:eastAsia="黑体" w:cs="黑体"/>
          <w:sz w:val="44"/>
          <w:szCs w:val="44"/>
        </w:rPr>
      </w:pPr>
      <w:r>
        <w:rPr>
          <w:rFonts w:hint="eastAsia" w:ascii="宋体" w:hAnsi="宋体" w:eastAsia="黑体" w:cs="黑体"/>
          <w:sz w:val="44"/>
          <w:szCs w:val="44"/>
        </w:rPr>
        <w:t>编制说明</w:t>
      </w:r>
      <w:bookmarkEnd w:id="1"/>
    </w:p>
    <w:p>
      <w:pPr>
        <w:jc w:val="center"/>
        <w:rPr>
          <w:rFonts w:ascii="宋体" w:hAnsi="宋体" w:eastAsia="仿宋"/>
          <w:b/>
          <w:bCs/>
          <w:i/>
          <w:iCs/>
          <w:sz w:val="28"/>
          <w:szCs w:val="28"/>
        </w:rPr>
      </w:pPr>
      <w:r>
        <w:rPr>
          <w:rFonts w:ascii="宋体" w:hAnsi="宋体" w:eastAsia="仿宋"/>
          <w:i/>
          <w:iCs/>
          <w:sz w:val="28"/>
          <w:szCs w:val="28"/>
        </w:rPr>
        <w:br w:type="textWrapping"/>
      </w:r>
    </w:p>
    <w:p>
      <w:pPr>
        <w:jc w:val="center"/>
        <w:rPr>
          <w:rFonts w:ascii="宋体" w:hAnsi="宋体" w:eastAsia="仿宋_GB2312"/>
          <w:i/>
          <w:iCs/>
          <w:sz w:val="28"/>
          <w:szCs w:val="28"/>
        </w:rPr>
      </w:pPr>
    </w:p>
    <w:p>
      <w:pPr>
        <w:jc w:val="center"/>
        <w:rPr>
          <w:rFonts w:ascii="宋体" w:hAnsi="宋体" w:eastAsia="仿宋_GB2312"/>
          <w:i/>
          <w:iCs/>
          <w:sz w:val="28"/>
          <w:szCs w:val="28"/>
        </w:rPr>
      </w:pPr>
    </w:p>
    <w:p>
      <w:pPr>
        <w:rPr>
          <w:rFonts w:ascii="宋体" w:hAnsi="宋体" w:eastAsia="仿宋_GB2312"/>
          <w:i/>
          <w:iCs/>
          <w:sz w:val="28"/>
          <w:szCs w:val="28"/>
        </w:rPr>
      </w:pPr>
    </w:p>
    <w:p>
      <w:pPr>
        <w:jc w:val="center"/>
        <w:rPr>
          <w:rFonts w:ascii="宋体" w:hAnsi="宋体" w:eastAsia="仿宋_GB2312"/>
          <w:i/>
          <w:iCs/>
          <w:sz w:val="28"/>
          <w:szCs w:val="28"/>
        </w:rPr>
      </w:pPr>
    </w:p>
    <w:p>
      <w:pPr>
        <w:jc w:val="center"/>
        <w:rPr>
          <w:rFonts w:ascii="宋体" w:hAnsi="宋体" w:eastAsia="仿宋_GB2312"/>
          <w:i/>
          <w:iCs/>
          <w:sz w:val="28"/>
          <w:szCs w:val="28"/>
        </w:rPr>
      </w:pPr>
    </w:p>
    <w:p>
      <w:pPr>
        <w:rPr>
          <w:rFonts w:ascii="宋体" w:hAnsi="宋体" w:eastAsia="仿宋_GB2312"/>
          <w:sz w:val="28"/>
          <w:szCs w:val="28"/>
        </w:rPr>
      </w:pPr>
    </w:p>
    <w:p>
      <w:pPr>
        <w:jc w:val="center"/>
        <w:rPr>
          <w:rFonts w:ascii="仿宋" w:hAnsi="仿宋" w:eastAsia="仿宋" w:cs="仿宋"/>
          <w:sz w:val="32"/>
          <w:szCs w:val="32"/>
        </w:rPr>
      </w:pPr>
      <w:r>
        <w:rPr>
          <w:rFonts w:hint="eastAsia" w:ascii="仿宋" w:hAnsi="仿宋" w:eastAsia="仿宋" w:cs="仿宋"/>
          <w:sz w:val="32"/>
          <w:szCs w:val="32"/>
        </w:rPr>
        <w:t>标准编制组</w:t>
      </w:r>
    </w:p>
    <w:p>
      <w:pPr>
        <w:jc w:val="center"/>
        <w:rPr>
          <w:rFonts w:ascii="宋体" w:hAnsi="宋体"/>
          <w:b/>
          <w:sz w:val="32"/>
          <w:szCs w:val="32"/>
        </w:rPr>
      </w:pPr>
      <w:r>
        <w:rPr>
          <w:rFonts w:ascii="宋体" w:hAnsi="宋体" w:cs="宋体"/>
          <w:sz w:val="32"/>
          <w:szCs w:val="32"/>
        </w:rPr>
        <w:t>2023</w:t>
      </w:r>
      <w:r>
        <w:rPr>
          <w:rFonts w:hint="eastAsia" w:ascii="宋体" w:hAnsi="宋体" w:cs="宋体"/>
          <w:sz w:val="32"/>
          <w:szCs w:val="32"/>
        </w:rPr>
        <w:t>年5月</w:t>
      </w:r>
      <w:r>
        <w:rPr>
          <w:rFonts w:hint="eastAsia" w:ascii="宋体" w:hAnsi="宋体" w:cs="宋体"/>
          <w:sz w:val="32"/>
          <w:szCs w:val="24"/>
        </w:rPr>
        <w:t>10</w:t>
      </w:r>
      <w:r>
        <w:rPr>
          <w:rFonts w:hint="eastAsia" w:ascii="宋体" w:hAnsi="宋体" w:cs="宋体"/>
          <w:sz w:val="32"/>
          <w:szCs w:val="32"/>
        </w:rPr>
        <w:t>日</w:t>
      </w:r>
    </w:p>
    <w:p>
      <w:pPr>
        <w:ind w:firstLine="880" w:firstLineChars="200"/>
        <w:jc w:val="center"/>
        <w:rPr>
          <w:rFonts w:ascii="宋体" w:hAnsi="宋体" w:eastAsia="方正小标宋_GBK" w:cs="方正小标宋_GBK"/>
          <w:sz w:val="44"/>
          <w:szCs w:val="44"/>
        </w:rPr>
        <w:sectPr>
          <w:pgSz w:w="11906" w:h="16838"/>
          <w:pgMar w:top="1701" w:right="1701" w:bottom="1701" w:left="1701" w:header="851" w:footer="992" w:gutter="0"/>
          <w:cols w:space="0" w:num="1"/>
          <w:docGrid w:type="lines" w:linePitch="312" w:charSpace="0"/>
        </w:sectPr>
      </w:pP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一、工作简况</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（一）任务来源</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2022年12月30日，国家标准化管理委员会印发《关于下达2022年基本公共服务领域推荐性国家标准专项计划的通知》（国标委发〔2022〕47号），国家标准《自然灾害综合风险评估技术规范 第1部分：房屋建筑》的计划编号为</w:t>
      </w:r>
      <w:r>
        <w:rPr>
          <w:rFonts w:ascii="宋体" w:hAnsi="宋体" w:eastAsia="仿宋_GB2312"/>
          <w:color w:val="000000" w:themeColor="text1"/>
          <w:sz w:val="32"/>
          <w:szCs w:val="32"/>
          <w:shd w:val="clear" w:color="auto" w:fill="FFFFFF"/>
          <w14:textFill>
            <w14:solidFill>
              <w14:schemeClr w14:val="tx1"/>
            </w14:solidFill>
          </w14:textFill>
        </w:rPr>
        <w:t>202215</w:t>
      </w:r>
      <w:r>
        <w:rPr>
          <w:rFonts w:hint="eastAsia" w:ascii="宋体" w:hAnsi="宋体" w:eastAsia="仿宋_GB2312"/>
          <w:color w:val="000000" w:themeColor="text1"/>
          <w:sz w:val="32"/>
          <w:szCs w:val="32"/>
          <w:shd w:val="clear" w:color="auto" w:fill="FFFFFF"/>
          <w14:textFill>
            <w14:solidFill>
              <w14:schemeClr w14:val="tx1"/>
            </w14:solidFill>
          </w14:textFill>
        </w:rPr>
        <w:t>76</w:t>
      </w:r>
      <w:r>
        <w:rPr>
          <w:rFonts w:ascii="宋体" w:hAnsi="宋体" w:eastAsia="仿宋_GB2312"/>
          <w:color w:val="000000" w:themeColor="text1"/>
          <w:sz w:val="32"/>
          <w:szCs w:val="32"/>
          <w:shd w:val="clear" w:color="auto" w:fill="FFFFFF"/>
          <w14:textFill>
            <w14:solidFill>
              <w14:schemeClr w14:val="tx1"/>
            </w14:solidFill>
          </w14:textFill>
        </w:rPr>
        <w:t>-</w:t>
      </w:r>
      <w:r>
        <w:rPr>
          <w:rFonts w:hint="eastAsia" w:ascii="宋体" w:hAnsi="宋体" w:eastAsia="仿宋_GB2312"/>
          <w:color w:val="000000" w:themeColor="text1"/>
          <w:sz w:val="32"/>
          <w:szCs w:val="32"/>
          <w:shd w:val="clear" w:color="auto" w:fill="FFFFFF"/>
          <w14:textFill>
            <w14:solidFill>
              <w14:schemeClr w14:val="tx1"/>
            </w14:solidFill>
          </w14:textFill>
        </w:rPr>
        <w:t>T-450，项目周期12个月，由全国应急管理与减灾救灾标准化技术委员会（SAC/TC 307）归口，组织起草和审查。</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（二）制定背景</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房屋建筑的安全关系到人民生命财产安全，科学评估房屋建筑面临的自然灾害综合风险，对于从源头上防范化解房屋建筑安全风险具有重要意义。</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为规范我国房屋建筑综合灾害风险评估工作，制定“自然灾害房屋建筑综合风险评估技术标准”，提出多种自然灾害作用下房屋建筑综合风险评估全过程的规范性要求和技术方法，为提高我国房屋建筑综合风险评估的规范性、系统性和科学性，提升风险评估对房屋建筑安全的支撑作用。</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（三）起草单位</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根据立项计划，</w:t>
      </w:r>
      <w:r>
        <w:rPr>
          <w:rFonts w:ascii="宋体" w:hAnsi="宋体" w:eastAsia="仿宋_GB2312"/>
          <w:color w:val="000000" w:themeColor="text1"/>
          <w:sz w:val="32"/>
          <w:szCs w:val="32"/>
          <w:shd w:val="clear" w:color="auto" w:fill="FFFFFF"/>
          <w14:textFill>
            <w14:solidFill>
              <w14:schemeClr w14:val="tx1"/>
            </w14:solidFill>
          </w14:textFill>
        </w:rPr>
        <w:t>2023</w:t>
      </w:r>
      <w:r>
        <w:rPr>
          <w:rFonts w:hint="eastAsia" w:ascii="宋体" w:hAnsi="宋体" w:eastAsia="仿宋_GB2312"/>
          <w:color w:val="000000" w:themeColor="text1"/>
          <w:sz w:val="32"/>
          <w:szCs w:val="32"/>
          <w:shd w:val="clear" w:color="auto" w:fill="FFFFFF"/>
          <w:lang w:val="en-US" w:eastAsia="zh-CN"/>
          <w14:textFill>
            <w14:solidFill>
              <w14:schemeClr w14:val="tx1"/>
            </w14:solidFill>
          </w14:textFill>
        </w:rPr>
        <w:t>年</w:t>
      </w:r>
      <w:bookmarkStart w:id="8" w:name="_GoBack"/>
      <w:bookmarkEnd w:id="8"/>
      <w:r>
        <w:rPr>
          <w:rFonts w:hint="eastAsia" w:ascii="宋体" w:hAnsi="宋体" w:eastAsia="仿宋_GB2312"/>
          <w:color w:val="000000" w:themeColor="text1"/>
          <w:sz w:val="32"/>
          <w:szCs w:val="32"/>
          <w:shd w:val="clear" w:color="auto" w:fill="FFFFFF"/>
          <w14:textFill>
            <w14:solidFill>
              <w14:schemeClr w14:val="tx1"/>
            </w14:solidFill>
          </w14:textFill>
        </w:rPr>
        <w:t>1月成立标准起草组，北京师范大学作为牵头起草单位负责本文件的制定工作，中国建筑科学研究院、北京科技大学、清华大学为参编单位协助标准的制定工作。</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（四）主要起草过程</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2020—2022年国务院开展第一次全国自然灾害综合风险普查工作，自然灾害房屋建筑综合风险评估是其中一项重要的任务，在此基础上形成了本标准。</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1.初稿编制阶段</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ascii="宋体" w:hAnsi="宋体" w:eastAsia="仿宋_GB2312"/>
          <w:color w:val="000000" w:themeColor="text1"/>
          <w:sz w:val="32"/>
          <w:szCs w:val="32"/>
          <w:shd w:val="clear" w:color="auto" w:fill="FFFFFF"/>
          <w14:textFill>
            <w14:solidFill>
              <w14:schemeClr w14:val="tx1"/>
            </w14:solidFill>
          </w14:textFill>
        </w:rPr>
        <w:t>2020</w:t>
      </w:r>
      <w:r>
        <w:rPr>
          <w:rFonts w:hint="eastAsia" w:ascii="宋体" w:hAnsi="宋体" w:eastAsia="仿宋_GB2312"/>
          <w:color w:val="000000" w:themeColor="text1"/>
          <w:sz w:val="32"/>
          <w:szCs w:val="32"/>
          <w:shd w:val="clear" w:color="auto" w:fill="FFFFFF"/>
          <w14:textFill>
            <w14:solidFill>
              <w14:schemeClr w14:val="tx1"/>
            </w14:solidFill>
          </w14:textFill>
        </w:rPr>
        <w:t>年7月，国务院第一次全国自然灾害综合风险普查领导小组办公室印发关于《</w:t>
      </w:r>
      <w:bookmarkStart w:id="2" w:name="OLE_LINK28"/>
      <w:r>
        <w:rPr>
          <w:rFonts w:hint="eastAsia" w:ascii="宋体" w:hAnsi="宋体" w:eastAsia="仿宋_GB2312"/>
          <w:color w:val="000000" w:themeColor="text1"/>
          <w:sz w:val="32"/>
          <w:szCs w:val="32"/>
          <w:shd w:val="clear" w:color="auto" w:fill="FFFFFF"/>
          <w14:textFill>
            <w14:solidFill>
              <w14:schemeClr w14:val="tx1"/>
            </w14:solidFill>
          </w14:textFill>
        </w:rPr>
        <w:t>第一次全国自然灾害综合风险普查</w:t>
      </w:r>
      <w:bookmarkEnd w:id="2"/>
      <w:r>
        <w:rPr>
          <w:rFonts w:hint="eastAsia" w:ascii="宋体" w:hAnsi="宋体" w:eastAsia="仿宋_GB2312"/>
          <w:color w:val="000000" w:themeColor="text1"/>
          <w:sz w:val="32"/>
          <w:szCs w:val="32"/>
          <w:shd w:val="clear" w:color="auto" w:fill="FFFFFF"/>
          <w14:textFill>
            <w14:solidFill>
              <w14:schemeClr w14:val="tx1"/>
            </w14:solidFill>
          </w14:textFill>
        </w:rPr>
        <w:t>总体方案》的通知（国灾险普办发〔2</w:t>
      </w:r>
      <w:r>
        <w:rPr>
          <w:rFonts w:ascii="宋体" w:hAnsi="宋体" w:eastAsia="仿宋_GB2312"/>
          <w:color w:val="000000" w:themeColor="text1"/>
          <w:sz w:val="32"/>
          <w:szCs w:val="32"/>
          <w:shd w:val="clear" w:color="auto" w:fill="FFFFFF"/>
          <w14:textFill>
            <w14:solidFill>
              <w14:schemeClr w14:val="tx1"/>
            </w14:solidFill>
          </w14:textFill>
        </w:rPr>
        <w:t>020</w:t>
      </w:r>
      <w:r>
        <w:rPr>
          <w:rFonts w:hint="eastAsia" w:ascii="宋体" w:hAnsi="宋体" w:eastAsia="仿宋_GB2312"/>
          <w:color w:val="000000" w:themeColor="text1"/>
          <w:sz w:val="32"/>
          <w:szCs w:val="32"/>
          <w:shd w:val="clear" w:color="auto" w:fill="FFFFFF"/>
          <w14:textFill>
            <w14:solidFill>
              <w14:schemeClr w14:val="tx1"/>
            </w14:solidFill>
          </w14:textFill>
        </w:rPr>
        <w:t>〕</w:t>
      </w:r>
      <w:r>
        <w:rPr>
          <w:rFonts w:ascii="宋体" w:hAnsi="宋体" w:eastAsia="仿宋_GB2312"/>
          <w:color w:val="000000" w:themeColor="text1"/>
          <w:sz w:val="32"/>
          <w:szCs w:val="32"/>
          <w:shd w:val="clear" w:color="auto" w:fill="FFFFFF"/>
          <w14:textFill>
            <w14:solidFill>
              <w14:schemeClr w14:val="tx1"/>
            </w14:solidFill>
          </w14:textFill>
        </w:rPr>
        <w:t>2</w:t>
      </w:r>
      <w:r>
        <w:rPr>
          <w:rFonts w:hint="eastAsia" w:ascii="宋体" w:hAnsi="宋体" w:eastAsia="仿宋_GB2312"/>
          <w:color w:val="000000" w:themeColor="text1"/>
          <w:sz w:val="32"/>
          <w:szCs w:val="32"/>
          <w:shd w:val="clear" w:color="auto" w:fill="FFFFFF"/>
          <w14:textFill>
            <w14:solidFill>
              <w14:schemeClr w14:val="tx1"/>
            </w14:solidFill>
          </w14:textFill>
        </w:rPr>
        <w:t>号），为建设自然灾害综合风险评估、风险区划和防治区划的技术规范体系，支撑普查完成自然灾害综合风险评估。北京师范大学牵头开始</w:t>
      </w:r>
      <w:bookmarkStart w:id="3" w:name="OLE_LINK27"/>
      <w:r>
        <w:rPr>
          <w:rFonts w:hint="eastAsia" w:ascii="宋体" w:hAnsi="宋体" w:eastAsia="仿宋_GB2312"/>
          <w:color w:val="000000" w:themeColor="text1"/>
          <w:sz w:val="32"/>
          <w:szCs w:val="32"/>
          <w:shd w:val="clear" w:color="auto" w:fill="FFFFFF"/>
          <w14:textFill>
            <w14:solidFill>
              <w14:schemeClr w14:val="tx1"/>
            </w14:solidFill>
          </w14:textFill>
        </w:rPr>
        <w:t>《自然灾害房屋建筑综合风险评估技术规范》</w:t>
      </w:r>
      <w:bookmarkEnd w:id="3"/>
      <w:r>
        <w:rPr>
          <w:rFonts w:hint="eastAsia" w:ascii="宋体" w:hAnsi="宋体" w:eastAsia="仿宋_GB2312"/>
          <w:color w:val="000000" w:themeColor="text1"/>
          <w:sz w:val="32"/>
          <w:szCs w:val="32"/>
          <w:shd w:val="clear" w:color="auto" w:fill="FFFFFF"/>
          <w14:textFill>
            <w14:solidFill>
              <w14:schemeClr w14:val="tx1"/>
            </w14:solidFill>
          </w14:textFill>
        </w:rPr>
        <w:t>的研究和编制。</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ascii="宋体" w:hAnsi="宋体" w:eastAsia="仿宋_GB2312"/>
          <w:color w:val="000000" w:themeColor="text1"/>
          <w:sz w:val="32"/>
          <w:szCs w:val="32"/>
          <w:shd w:val="clear" w:color="auto" w:fill="FFFFFF"/>
          <w14:textFill>
            <w14:solidFill>
              <w14:schemeClr w14:val="tx1"/>
            </w14:solidFill>
          </w14:textFill>
        </w:rPr>
        <w:t>2021</w:t>
      </w:r>
      <w:r>
        <w:rPr>
          <w:rFonts w:hint="eastAsia" w:ascii="宋体" w:hAnsi="宋体" w:eastAsia="仿宋_GB2312"/>
          <w:color w:val="000000" w:themeColor="text1"/>
          <w:sz w:val="32"/>
          <w:szCs w:val="32"/>
          <w:shd w:val="clear" w:color="auto" w:fill="FFFFFF"/>
          <w14:textFill>
            <w14:solidFill>
              <w14:schemeClr w14:val="tx1"/>
            </w14:solidFill>
          </w14:textFill>
        </w:rPr>
        <w:t>年</w:t>
      </w:r>
      <w:r>
        <w:rPr>
          <w:rFonts w:ascii="宋体" w:hAnsi="宋体" w:eastAsia="仿宋_GB2312"/>
          <w:color w:val="000000" w:themeColor="text1"/>
          <w:sz w:val="32"/>
          <w:szCs w:val="32"/>
          <w:shd w:val="clear" w:color="auto" w:fill="FFFFFF"/>
          <w14:textFill>
            <w14:solidFill>
              <w14:schemeClr w14:val="tx1"/>
            </w14:solidFill>
          </w14:textFill>
        </w:rPr>
        <w:t>4</w:t>
      </w:r>
      <w:r>
        <w:rPr>
          <w:rFonts w:hint="eastAsia" w:ascii="宋体" w:hAnsi="宋体" w:eastAsia="仿宋_GB2312"/>
          <w:color w:val="000000" w:themeColor="text1"/>
          <w:sz w:val="32"/>
          <w:szCs w:val="32"/>
          <w:shd w:val="clear" w:color="auto" w:fill="FFFFFF"/>
          <w14:textFill>
            <w14:solidFill>
              <w14:schemeClr w14:val="tx1"/>
            </w14:solidFill>
          </w14:textFill>
        </w:rPr>
        <w:t>月，</w:t>
      </w:r>
      <w:bookmarkStart w:id="4" w:name="OLE_LINK31"/>
      <w:r>
        <w:rPr>
          <w:rFonts w:hint="eastAsia" w:ascii="宋体" w:hAnsi="宋体" w:eastAsia="仿宋_GB2312"/>
          <w:color w:val="000000" w:themeColor="text1"/>
          <w:sz w:val="32"/>
          <w:szCs w:val="32"/>
          <w:shd w:val="clear" w:color="auto" w:fill="FFFFFF"/>
          <w14:textFill>
            <w14:solidFill>
              <w14:schemeClr w14:val="tx1"/>
            </w14:solidFill>
          </w14:textFill>
        </w:rPr>
        <w:t>经过多方研讨、地方和行业部门征求意见，国务院普查办技术组审议</w:t>
      </w:r>
      <w:bookmarkEnd w:id="4"/>
      <w:r>
        <w:rPr>
          <w:rFonts w:hint="eastAsia" w:ascii="宋体" w:hAnsi="宋体" w:eastAsia="仿宋_GB2312"/>
          <w:color w:val="000000" w:themeColor="text1"/>
          <w:sz w:val="32"/>
          <w:szCs w:val="32"/>
          <w:shd w:val="clear" w:color="auto" w:fill="FFFFFF"/>
          <w14:textFill>
            <w14:solidFill>
              <w14:schemeClr w14:val="tx1"/>
            </w14:solidFill>
          </w14:textFill>
        </w:rPr>
        <w:t>通过</w:t>
      </w:r>
      <w:bookmarkStart w:id="5" w:name="OLE_LINK30"/>
      <w:r>
        <w:rPr>
          <w:rFonts w:hint="eastAsia" w:ascii="宋体" w:hAnsi="宋体" w:eastAsia="仿宋_GB2312"/>
          <w:color w:val="000000" w:themeColor="text1"/>
          <w:sz w:val="32"/>
          <w:szCs w:val="32"/>
          <w:shd w:val="clear" w:color="auto" w:fill="FFFFFF"/>
          <w14:textFill>
            <w14:solidFill>
              <w14:schemeClr w14:val="tx1"/>
            </w14:solidFill>
          </w14:textFill>
        </w:rPr>
        <w:t>，形成《自然灾害房屋建筑综合风险评估技术规范》</w:t>
      </w:r>
      <w:bookmarkEnd w:id="5"/>
      <w:r>
        <w:rPr>
          <w:rFonts w:hint="eastAsia" w:ascii="宋体" w:hAnsi="宋体" w:eastAsia="仿宋_GB2312"/>
          <w:color w:val="000000" w:themeColor="text1"/>
          <w:sz w:val="32"/>
          <w:szCs w:val="32"/>
          <w:shd w:val="clear" w:color="auto" w:fill="FFFFFF"/>
          <w14:textFill>
            <w14:solidFill>
              <w14:schemeClr w14:val="tx1"/>
            </w14:solidFill>
          </w14:textFill>
        </w:rPr>
        <w:t>（试点版），用于</w:t>
      </w:r>
      <w:bookmarkStart w:id="6" w:name="OLE_LINK29"/>
      <w:r>
        <w:rPr>
          <w:rFonts w:hint="eastAsia" w:ascii="宋体" w:hAnsi="宋体" w:eastAsia="仿宋_GB2312"/>
          <w:color w:val="000000" w:themeColor="text1"/>
          <w:sz w:val="32"/>
          <w:szCs w:val="32"/>
          <w:shd w:val="clear" w:color="auto" w:fill="FFFFFF"/>
          <w14:textFill>
            <w14:solidFill>
              <w14:schemeClr w14:val="tx1"/>
            </w14:solidFill>
          </w14:textFill>
        </w:rPr>
        <w:t>第一次全国自然灾害综合风险普查试点评估与区划工作</w:t>
      </w:r>
      <w:bookmarkEnd w:id="6"/>
      <w:r>
        <w:rPr>
          <w:rFonts w:hint="eastAsia" w:ascii="宋体" w:hAnsi="宋体" w:eastAsia="仿宋_GB2312"/>
          <w:color w:val="000000" w:themeColor="text1"/>
          <w:sz w:val="32"/>
          <w:szCs w:val="32"/>
          <w:shd w:val="clear" w:color="auto" w:fill="FFFFFF"/>
          <w14:textFill>
            <w14:solidFill>
              <w14:schemeClr w14:val="tx1"/>
            </w14:solidFill>
          </w14:textFill>
        </w:rPr>
        <w:t>。</w:t>
      </w:r>
    </w:p>
    <w:p>
      <w:pPr>
        <w:tabs>
          <w:tab w:val="center" w:pos="4201"/>
          <w:tab w:val="right" w:leader="dot" w:pos="9298"/>
        </w:tabs>
        <w:autoSpaceDE w:val="0"/>
        <w:autoSpaceDN w:val="0"/>
        <w:adjustRightInd w:val="0"/>
        <w:ind w:firstLine="420" w:firstLineChars="200"/>
        <w:jc w:val="center"/>
      </w:pPr>
      <w:r>
        <w:drawing>
          <wp:inline distT="0" distB="0" distL="0" distR="0">
            <wp:extent cx="3256280" cy="21310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97623" cy="2158275"/>
                    </a:xfrm>
                    <a:prstGeom prst="rect">
                      <a:avLst/>
                    </a:prstGeom>
                    <a:noFill/>
                    <a:ln>
                      <a:noFill/>
                    </a:ln>
                  </pic:spPr>
                </pic:pic>
              </a:graphicData>
            </a:graphic>
          </wp:inline>
        </w:drawing>
      </w:r>
    </w:p>
    <w:p>
      <w:pPr>
        <w:spacing w:line="560" w:lineRule="exact"/>
        <w:ind w:firstLine="560" w:firstLineChars="200"/>
        <w:jc w:val="center"/>
        <w:rPr>
          <w:rFonts w:ascii="宋体" w:hAnsi="宋体" w:eastAsia="仿宋_GB2312"/>
          <w:color w:val="000000" w:themeColor="text1"/>
          <w:sz w:val="28"/>
          <w:szCs w:val="28"/>
          <w:shd w:val="clear" w:color="auto" w:fill="FFFFFF"/>
          <w14:textFill>
            <w14:solidFill>
              <w14:schemeClr w14:val="tx1"/>
            </w14:solidFill>
          </w14:textFill>
        </w:rPr>
      </w:pPr>
      <w:bookmarkStart w:id="7" w:name="OLE_LINK25"/>
      <w:r>
        <w:rPr>
          <w:rFonts w:hint="eastAsia" w:ascii="宋体" w:hAnsi="宋体" w:eastAsia="仿宋_GB2312"/>
          <w:color w:val="000000" w:themeColor="text1"/>
          <w:sz w:val="28"/>
          <w:szCs w:val="28"/>
          <w:shd w:val="clear" w:color="auto" w:fill="FFFFFF"/>
          <w14:textFill>
            <w14:solidFill>
              <w14:schemeClr w14:val="tx1"/>
            </w14:solidFill>
          </w14:textFill>
        </w:rPr>
        <w:t xml:space="preserve">图1 </w:t>
      </w:r>
      <w:r>
        <w:rPr>
          <w:rFonts w:ascii="宋体" w:hAnsi="宋体" w:eastAsia="仿宋_GB2312"/>
          <w:color w:val="000000" w:themeColor="text1"/>
          <w:sz w:val="28"/>
          <w:szCs w:val="28"/>
          <w:shd w:val="clear" w:color="auto" w:fill="FFFFFF"/>
          <w14:textFill>
            <w14:solidFill>
              <w14:schemeClr w14:val="tx1"/>
            </w14:solidFill>
          </w14:textFill>
        </w:rPr>
        <w:t>2021</w:t>
      </w:r>
      <w:r>
        <w:rPr>
          <w:rFonts w:hint="eastAsia" w:ascii="宋体" w:hAnsi="宋体" w:eastAsia="仿宋_GB2312"/>
          <w:color w:val="000000" w:themeColor="text1"/>
          <w:sz w:val="28"/>
          <w:szCs w:val="28"/>
          <w:shd w:val="clear" w:color="auto" w:fill="FFFFFF"/>
          <w14:textFill>
            <w14:solidFill>
              <w14:schemeClr w14:val="tx1"/>
            </w14:solidFill>
          </w14:textFill>
        </w:rPr>
        <w:t>年</w:t>
      </w:r>
      <w:r>
        <w:rPr>
          <w:rFonts w:ascii="宋体" w:hAnsi="宋体" w:eastAsia="仿宋_GB2312"/>
          <w:color w:val="000000" w:themeColor="text1"/>
          <w:sz w:val="28"/>
          <w:szCs w:val="28"/>
          <w:shd w:val="clear" w:color="auto" w:fill="FFFFFF"/>
          <w14:textFill>
            <w14:solidFill>
              <w14:schemeClr w14:val="tx1"/>
            </w14:solidFill>
          </w14:textFill>
        </w:rPr>
        <w:t>4</w:t>
      </w:r>
      <w:r>
        <w:rPr>
          <w:rFonts w:hint="eastAsia" w:ascii="宋体" w:hAnsi="宋体" w:eastAsia="仿宋_GB2312"/>
          <w:color w:val="000000" w:themeColor="text1"/>
          <w:sz w:val="28"/>
          <w:szCs w:val="28"/>
          <w:shd w:val="clear" w:color="auto" w:fill="FFFFFF"/>
          <w14:textFill>
            <w14:solidFill>
              <w14:schemeClr w14:val="tx1"/>
            </w14:solidFill>
          </w14:textFill>
        </w:rPr>
        <w:t>月国务院普查办技术组全体会议审议现场</w:t>
      </w:r>
    </w:p>
    <w:bookmarkEnd w:id="7"/>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ascii="宋体" w:hAnsi="宋体" w:eastAsia="仿宋_GB2312"/>
          <w:color w:val="000000" w:themeColor="text1"/>
          <w:sz w:val="32"/>
          <w:szCs w:val="32"/>
          <w:shd w:val="clear" w:color="auto" w:fill="FFFFFF"/>
          <w14:textFill>
            <w14:solidFill>
              <w14:schemeClr w14:val="tx1"/>
            </w14:solidFill>
          </w14:textFill>
        </w:rPr>
        <w:t>2022</w:t>
      </w:r>
      <w:r>
        <w:rPr>
          <w:rFonts w:hint="eastAsia" w:ascii="宋体" w:hAnsi="宋体" w:eastAsia="仿宋_GB2312"/>
          <w:color w:val="000000" w:themeColor="text1"/>
          <w:sz w:val="32"/>
          <w:szCs w:val="32"/>
          <w:shd w:val="clear" w:color="auto" w:fill="FFFFFF"/>
          <w14:textFill>
            <w14:solidFill>
              <w14:schemeClr w14:val="tx1"/>
            </w14:solidFill>
          </w14:textFill>
        </w:rPr>
        <w:t>年</w:t>
      </w:r>
      <w:r>
        <w:rPr>
          <w:rFonts w:ascii="宋体" w:hAnsi="宋体" w:eastAsia="仿宋_GB2312"/>
          <w:color w:val="000000" w:themeColor="text1"/>
          <w:sz w:val="32"/>
          <w:szCs w:val="32"/>
          <w:shd w:val="clear" w:color="auto" w:fill="FFFFFF"/>
          <w14:textFill>
            <w14:solidFill>
              <w14:schemeClr w14:val="tx1"/>
            </w14:solidFill>
          </w14:textFill>
        </w:rPr>
        <w:t>3</w:t>
      </w:r>
      <w:r>
        <w:rPr>
          <w:rFonts w:hint="eastAsia" w:ascii="宋体" w:hAnsi="宋体" w:eastAsia="仿宋_GB2312"/>
          <w:color w:val="000000" w:themeColor="text1"/>
          <w:sz w:val="32"/>
          <w:szCs w:val="32"/>
          <w:shd w:val="clear" w:color="auto" w:fill="FFFFFF"/>
          <w14:textFill>
            <w14:solidFill>
              <w14:schemeClr w14:val="tx1"/>
            </w14:solidFill>
          </w14:textFill>
        </w:rPr>
        <w:t>月，经过第一次全国自然灾害综合风险普查“1</w:t>
      </w:r>
      <w:r>
        <w:rPr>
          <w:rFonts w:ascii="宋体" w:hAnsi="宋体" w:eastAsia="仿宋_GB2312"/>
          <w:color w:val="000000" w:themeColor="text1"/>
          <w:sz w:val="32"/>
          <w:szCs w:val="32"/>
          <w:shd w:val="clear" w:color="auto" w:fill="FFFFFF"/>
          <w14:textFill>
            <w14:solidFill>
              <w14:schemeClr w14:val="tx1"/>
            </w14:solidFill>
          </w14:textFill>
        </w:rPr>
        <w:t>1</w:t>
      </w:r>
      <w:r>
        <w:rPr>
          <w:rFonts w:hint="eastAsia" w:ascii="宋体" w:hAnsi="宋体" w:eastAsia="仿宋_GB2312"/>
          <w:color w:val="000000" w:themeColor="text1"/>
          <w:sz w:val="32"/>
          <w:szCs w:val="32"/>
          <w:shd w:val="clear" w:color="auto" w:fill="FFFFFF"/>
          <w14:textFill>
            <w14:solidFill>
              <w14:schemeClr w14:val="tx1"/>
            </w14:solidFill>
          </w14:textFill>
        </w:rPr>
        <w:t>个重点县”、“一省一县”等试点评估与区划工作，组织修改形成《自然灾害房屋建筑综合风险评估技术规范》，并报国务院普查办技术组审议。</w:t>
      </w:r>
    </w:p>
    <w:p>
      <w:pPr>
        <w:tabs>
          <w:tab w:val="center" w:pos="4201"/>
          <w:tab w:val="right" w:leader="dot" w:pos="9298"/>
        </w:tabs>
        <w:autoSpaceDE w:val="0"/>
        <w:autoSpaceDN w:val="0"/>
        <w:adjustRightInd w:val="0"/>
        <w:ind w:firstLine="420" w:firstLineChars="200"/>
        <w:jc w:val="center"/>
        <w:rPr>
          <w:rFonts w:ascii="仿宋_GB2312" w:hAnsi="仿宋_GB2312" w:eastAsia="仿宋_GB2312" w:cs="仿宋_GB2312"/>
          <w:sz w:val="32"/>
        </w:rPr>
      </w:pPr>
      <w:r>
        <w:drawing>
          <wp:inline distT="0" distB="0" distL="0" distR="0">
            <wp:extent cx="3077210" cy="2308225"/>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097593" cy="2323382"/>
                    </a:xfrm>
                    <a:prstGeom prst="rect">
                      <a:avLst/>
                    </a:prstGeom>
                  </pic:spPr>
                </pic:pic>
              </a:graphicData>
            </a:graphic>
          </wp:inline>
        </w:drawing>
      </w:r>
    </w:p>
    <w:p>
      <w:pPr>
        <w:spacing w:line="560" w:lineRule="exact"/>
        <w:ind w:firstLine="560" w:firstLineChars="200"/>
        <w:jc w:val="center"/>
        <w:rPr>
          <w:rFonts w:ascii="宋体" w:hAnsi="宋体" w:eastAsia="仿宋_GB2312"/>
          <w:color w:val="000000" w:themeColor="text1"/>
          <w:sz w:val="28"/>
          <w:szCs w:val="28"/>
          <w:shd w:val="clear" w:color="auto" w:fill="FFFFFF"/>
          <w14:textFill>
            <w14:solidFill>
              <w14:schemeClr w14:val="tx1"/>
            </w14:solidFill>
          </w14:textFill>
        </w:rPr>
      </w:pPr>
      <w:r>
        <w:rPr>
          <w:rFonts w:hint="eastAsia" w:ascii="宋体" w:hAnsi="宋体" w:eastAsia="仿宋_GB2312"/>
          <w:color w:val="000000" w:themeColor="text1"/>
          <w:sz w:val="28"/>
          <w:szCs w:val="28"/>
          <w:shd w:val="clear" w:color="auto" w:fill="FFFFFF"/>
          <w14:textFill>
            <w14:solidFill>
              <w14:schemeClr w14:val="tx1"/>
            </w14:solidFill>
          </w14:textFill>
        </w:rPr>
        <w:t>图</w:t>
      </w:r>
      <w:r>
        <w:rPr>
          <w:rFonts w:ascii="宋体" w:hAnsi="宋体" w:eastAsia="仿宋_GB2312"/>
          <w:color w:val="000000" w:themeColor="text1"/>
          <w:sz w:val="28"/>
          <w:szCs w:val="28"/>
          <w:shd w:val="clear" w:color="auto" w:fill="FFFFFF"/>
          <w14:textFill>
            <w14:solidFill>
              <w14:schemeClr w14:val="tx1"/>
            </w14:solidFill>
          </w14:textFill>
        </w:rPr>
        <w:t>2</w:t>
      </w:r>
      <w:r>
        <w:rPr>
          <w:rFonts w:hint="eastAsia" w:ascii="宋体" w:hAnsi="宋体" w:eastAsia="仿宋_GB2312"/>
          <w:color w:val="000000" w:themeColor="text1"/>
          <w:sz w:val="28"/>
          <w:szCs w:val="28"/>
          <w:shd w:val="clear" w:color="auto" w:fill="FFFFFF"/>
          <w14:textFill>
            <w14:solidFill>
              <w14:schemeClr w14:val="tx1"/>
            </w14:solidFill>
          </w14:textFill>
        </w:rPr>
        <w:t xml:space="preserve"> </w:t>
      </w:r>
      <w:r>
        <w:rPr>
          <w:rFonts w:ascii="宋体" w:hAnsi="宋体" w:eastAsia="仿宋_GB2312"/>
          <w:color w:val="000000" w:themeColor="text1"/>
          <w:sz w:val="28"/>
          <w:szCs w:val="28"/>
          <w:shd w:val="clear" w:color="auto" w:fill="FFFFFF"/>
          <w14:textFill>
            <w14:solidFill>
              <w14:schemeClr w14:val="tx1"/>
            </w14:solidFill>
          </w14:textFill>
        </w:rPr>
        <w:t>2022</w:t>
      </w:r>
      <w:r>
        <w:rPr>
          <w:rFonts w:hint="eastAsia" w:ascii="宋体" w:hAnsi="宋体" w:eastAsia="仿宋_GB2312"/>
          <w:color w:val="000000" w:themeColor="text1"/>
          <w:sz w:val="28"/>
          <w:szCs w:val="28"/>
          <w:shd w:val="clear" w:color="auto" w:fill="FFFFFF"/>
          <w14:textFill>
            <w14:solidFill>
              <w14:schemeClr w14:val="tx1"/>
            </w14:solidFill>
          </w14:textFill>
        </w:rPr>
        <w:t>年</w:t>
      </w:r>
      <w:r>
        <w:rPr>
          <w:rFonts w:ascii="宋体" w:hAnsi="宋体" w:eastAsia="仿宋_GB2312"/>
          <w:color w:val="000000" w:themeColor="text1"/>
          <w:sz w:val="28"/>
          <w:szCs w:val="28"/>
          <w:shd w:val="clear" w:color="auto" w:fill="FFFFFF"/>
          <w14:textFill>
            <w14:solidFill>
              <w14:schemeClr w14:val="tx1"/>
            </w14:solidFill>
          </w14:textFill>
        </w:rPr>
        <w:t>3</w:t>
      </w:r>
      <w:r>
        <w:rPr>
          <w:rFonts w:hint="eastAsia" w:ascii="宋体" w:hAnsi="宋体" w:eastAsia="仿宋_GB2312"/>
          <w:color w:val="000000" w:themeColor="text1"/>
          <w:sz w:val="28"/>
          <w:szCs w:val="28"/>
          <w:shd w:val="clear" w:color="auto" w:fill="FFFFFF"/>
          <w14:textFill>
            <w14:solidFill>
              <w14:schemeClr w14:val="tx1"/>
            </w14:solidFill>
          </w14:textFill>
        </w:rPr>
        <w:t>月国务院普查办技术组全体会议审议现场</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2022年5月，形成《自然灾害房屋建筑综合风险评估技术标准》。</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2</w:t>
      </w:r>
      <w:r>
        <w:rPr>
          <w:rFonts w:ascii="宋体" w:hAnsi="宋体" w:eastAsia="仿宋_GB2312"/>
          <w:color w:val="000000" w:themeColor="text1"/>
          <w:sz w:val="32"/>
          <w:szCs w:val="32"/>
          <w:shd w:val="clear" w:color="auto" w:fill="FFFFFF"/>
          <w14:textFill>
            <w14:solidFill>
              <w14:schemeClr w14:val="tx1"/>
            </w14:solidFill>
          </w14:textFill>
        </w:rPr>
        <w:t>023</w:t>
      </w:r>
      <w:r>
        <w:rPr>
          <w:rFonts w:hint="eastAsia" w:ascii="宋体" w:hAnsi="宋体" w:eastAsia="仿宋_GB2312"/>
          <w:color w:val="000000" w:themeColor="text1"/>
          <w:sz w:val="32"/>
          <w:szCs w:val="32"/>
          <w:shd w:val="clear" w:color="auto" w:fill="FFFFFF"/>
          <w14:textFill>
            <w14:solidFill>
              <w14:schemeClr w14:val="tx1"/>
            </w14:solidFill>
          </w14:textFill>
        </w:rPr>
        <w:t>年1月-</w:t>
      </w:r>
      <w:r>
        <w:rPr>
          <w:rFonts w:ascii="宋体" w:hAnsi="宋体" w:eastAsia="仿宋_GB2312"/>
          <w:color w:val="000000" w:themeColor="text1"/>
          <w:sz w:val="32"/>
          <w:szCs w:val="32"/>
          <w:shd w:val="clear" w:color="auto" w:fill="FFFFFF"/>
          <w14:textFill>
            <w14:solidFill>
              <w14:schemeClr w14:val="tx1"/>
            </w14:solidFill>
          </w14:textFill>
        </w:rPr>
        <w:t>3</w:t>
      </w:r>
      <w:r>
        <w:rPr>
          <w:rFonts w:hint="eastAsia" w:ascii="宋体" w:hAnsi="宋体" w:eastAsia="仿宋_GB2312"/>
          <w:color w:val="000000" w:themeColor="text1"/>
          <w:sz w:val="32"/>
          <w:szCs w:val="32"/>
          <w:shd w:val="clear" w:color="auto" w:fill="FFFFFF"/>
          <w14:textFill>
            <w14:solidFill>
              <w14:schemeClr w14:val="tx1"/>
            </w14:solidFill>
          </w14:textFill>
        </w:rPr>
        <w:t>月，在《自然灾害房屋建筑综合风险评估技术标准》的基础上，编制形成《自然灾害综合风险评估技术规范 第1部分：房屋建筑》（征求意见稿）。</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2023年5月，参加全国应急管理与减灾救灾标准化技术委员会（SAC/TC 307）标准制修订周期管理进度交流会，提交《自然灾害综合风险评估技术规范 第1部分：房屋建筑》（征求意见稿）及编制说明进行初审。</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二、标准编制原则、主要技术内容及其确定依据</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（一）标准编制原则</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标准作为通用性标准，编写中主要考虑到以下一些原则：</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——标准需要既通用又有具体实用性、既有统一原则性又要考虑应用灵活性。</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——本标准包含对我国房屋建筑自然灾害风险评估的通用性、原则性、统一性规定，对不宜作统一硬性规定的，给出指导性、可选项描述。</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——考虑到我国各地区情况差异较大，在满足基本要求的前提下，标准文本中给出了一些选用项或根据需要确定的描述，以满足各地区实际需要。</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——本标准作为通用性标准，给出了基本要求和规范，对后续相关部门或地区制定具体评估方案等具有指导作用。</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（二）标准主要技术内容及确定依据</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本标准共分为范围、规范性引用文件、术语和定义、评估基本内容、总体原则、评估流程与方法、成果管理7个章节。</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1.关于范围</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本章规定了文件适用的范围，主要适用于我国县级行政单元及以上区域自然灾害房屋建筑综合风险评估。</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2.关于评估基本内容</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本章规定了评估对象、评估内容和建议评估基本单元。地方使用时可根据实际情况进行调整。</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3</w:t>
      </w:r>
      <w:r>
        <w:rPr>
          <w:rFonts w:ascii="宋体" w:hAnsi="宋体" w:eastAsia="仿宋_GB2312"/>
          <w:color w:val="000000" w:themeColor="text1"/>
          <w:sz w:val="32"/>
          <w:szCs w:val="32"/>
          <w:shd w:val="clear" w:color="auto" w:fill="FFFFFF"/>
          <w14:textFill>
            <w14:solidFill>
              <w14:schemeClr w14:val="tx1"/>
            </w14:solidFill>
          </w14:textFill>
        </w:rPr>
        <w:t>.</w:t>
      </w:r>
      <w:r>
        <w:rPr>
          <w:rFonts w:hint="eastAsia" w:ascii="宋体" w:hAnsi="宋体" w:eastAsia="仿宋_GB2312"/>
          <w:color w:val="000000" w:themeColor="text1"/>
          <w:sz w:val="32"/>
          <w:szCs w:val="32"/>
          <w:shd w:val="clear" w:color="auto" w:fill="FFFFFF"/>
          <w14:textFill>
            <w14:solidFill>
              <w14:schemeClr w14:val="tx1"/>
            </w14:solidFill>
          </w14:textFill>
        </w:rPr>
        <w:t>关于总体原则</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本章规定了评估时应遵循的总体原则，使用者应遵循科学性、客观性、可行性和动态性原则。</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4</w:t>
      </w:r>
      <w:r>
        <w:rPr>
          <w:rFonts w:ascii="宋体" w:hAnsi="宋体" w:eastAsia="仿宋_GB2312"/>
          <w:color w:val="000000" w:themeColor="text1"/>
          <w:sz w:val="32"/>
          <w:szCs w:val="32"/>
          <w:shd w:val="clear" w:color="auto" w:fill="FFFFFF"/>
          <w14:textFill>
            <w14:solidFill>
              <w14:schemeClr w14:val="tx1"/>
            </w14:solidFill>
          </w14:textFill>
        </w:rPr>
        <w:t>.</w:t>
      </w:r>
      <w:r>
        <w:rPr>
          <w:rFonts w:hint="eastAsia" w:ascii="宋体" w:hAnsi="宋体" w:eastAsia="仿宋_GB2312"/>
          <w:color w:val="000000" w:themeColor="text1"/>
          <w:sz w:val="32"/>
          <w:szCs w:val="32"/>
          <w:shd w:val="clear" w:color="auto" w:fill="FFFFFF"/>
          <w14:textFill>
            <w14:solidFill>
              <w14:schemeClr w14:val="tx1"/>
            </w14:solidFill>
          </w14:textFill>
        </w:rPr>
        <w:t>关于评估流程与方法</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（1）关于数据准备</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节规定了进行房屋建筑自然灾害综合风险评估所必须的基础地理信息数据、单灾种房屋建筑灾害损失数据、单灾种危险性评估数据、房屋建筑数据。条件允许时，地方使用时可在此基础上补充当地数据更详细的数据以更加精细化地完成评估。</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w:t>
      </w:r>
      <w:r>
        <w:rPr>
          <w:rFonts w:ascii="宋体" w:hAnsi="宋体" w:eastAsia="仿宋_GB2312"/>
          <w:color w:val="000000" w:themeColor="text1"/>
          <w:sz w:val="32"/>
          <w:szCs w:val="32"/>
          <w:shd w:val="clear" w:color="auto" w:fill="FFFFFF"/>
          <w14:textFill>
            <w14:solidFill>
              <w14:schemeClr w14:val="tx1"/>
            </w14:solidFill>
          </w14:textFill>
        </w:rPr>
        <w:t>2</w:t>
      </w:r>
      <w:r>
        <w:rPr>
          <w:rFonts w:hint="eastAsia" w:ascii="宋体" w:hAnsi="宋体" w:eastAsia="仿宋_GB2312"/>
          <w:color w:val="000000" w:themeColor="text1"/>
          <w:sz w:val="32"/>
          <w:szCs w:val="32"/>
          <w:shd w:val="clear" w:color="auto" w:fill="FFFFFF"/>
          <w14:textFill>
            <w14:solidFill>
              <w14:schemeClr w14:val="tx1"/>
            </w14:solidFill>
          </w14:textFill>
        </w:rPr>
        <w:t>）关于数据质量控制</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本节规定了房屋建筑调查基础数据的数据质量控制基本要求。之所以给出这几方面的规定，其目的主要在于保障评估过程的顺利进行和评估结果的可靠性。</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w:t>
      </w:r>
      <w:r>
        <w:rPr>
          <w:rFonts w:ascii="宋体" w:hAnsi="宋体" w:eastAsia="仿宋_GB2312"/>
          <w:color w:val="000000" w:themeColor="text1"/>
          <w:sz w:val="32"/>
          <w:szCs w:val="32"/>
          <w:shd w:val="clear" w:color="auto" w:fill="FFFFFF"/>
          <w14:textFill>
            <w14:solidFill>
              <w14:schemeClr w14:val="tx1"/>
            </w14:solidFill>
          </w14:textFill>
        </w:rPr>
        <w:t>3</w:t>
      </w:r>
      <w:r>
        <w:rPr>
          <w:rFonts w:hint="eastAsia" w:ascii="宋体" w:hAnsi="宋体" w:eastAsia="仿宋_GB2312"/>
          <w:color w:val="000000" w:themeColor="text1"/>
          <w:sz w:val="32"/>
          <w:szCs w:val="32"/>
          <w:shd w:val="clear" w:color="auto" w:fill="FFFFFF"/>
          <w14:textFill>
            <w14:solidFill>
              <w14:schemeClr w14:val="tx1"/>
            </w14:solidFill>
          </w14:textFill>
        </w:rPr>
        <w:t>）关于评估方法</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节规定了房屋建筑自然灾害综合风险评估方法。风险等级评价法和暴露分析评价法的制定综合考虑了评估结果的参考价值和实操过程的难易程度。风险等级评价法是一个便于理解与计算的方法，且结果具备参考价值。暴露分析评价法是在风险等级评价法的基础上，进一步补充提供了有效信息，便于管理者理解房屋建筑所面临的自然灾害危险性。</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ascii="宋体" w:hAnsi="宋体" w:eastAsia="仿宋_GB2312"/>
          <w:color w:val="000000" w:themeColor="text1"/>
          <w:sz w:val="32"/>
          <w:szCs w:val="32"/>
          <w:shd w:val="clear" w:color="auto" w:fill="FFFFFF"/>
          <w14:textFill>
            <w14:solidFill>
              <w14:schemeClr w14:val="tx1"/>
            </w14:solidFill>
          </w14:textFill>
        </w:rPr>
        <w:t>5.</w:t>
      </w:r>
      <w:r>
        <w:rPr>
          <w:rFonts w:hint="eastAsia" w:ascii="宋体" w:hAnsi="宋体" w:eastAsia="仿宋_GB2312"/>
          <w:color w:val="000000" w:themeColor="text1"/>
          <w:sz w:val="32"/>
          <w:szCs w:val="32"/>
          <w:shd w:val="clear" w:color="auto" w:fill="FFFFFF"/>
          <w14:textFill>
            <w14:solidFill>
              <w14:schemeClr w14:val="tx1"/>
            </w14:solidFill>
          </w14:textFill>
        </w:rPr>
        <w:t>关于成果管理</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本章规定了以文本、图件和数据三种形式存储风险评估成果。为便于广泛使用，本章进一步给出了文本参考格式及图件参考要求。</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（三）标准修订变化及依据</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无。</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三、试验验证的分析、综述报告、技术经济论证，预期的经济效益、社会效益和生态效益</w:t>
      </w:r>
    </w:p>
    <w:p>
      <w:pPr>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标准首次规定了适用于我国自然灾害房屋建筑综合风险评估的术语、评估指标体系、技术方法和结果表达等内容，有助于我国房屋建筑综合风险评估工作更加科学化与规范化，识别自然灾害房屋建筑高风险区，具备良好的经济与社会效益。</w:t>
      </w:r>
    </w:p>
    <w:p>
      <w:pPr>
        <w:widowControl/>
        <w:numPr>
          <w:ilvl w:val="0"/>
          <w:numId w:val="1"/>
        </w:num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与国际、国外同类标准技术内容的对比情况</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2016—202</w:t>
      </w:r>
      <w:r>
        <w:rPr>
          <w:rFonts w:ascii="宋体" w:hAnsi="宋体" w:eastAsia="仿宋_GB2312"/>
          <w:color w:val="000000" w:themeColor="text1"/>
          <w:sz w:val="32"/>
          <w:szCs w:val="32"/>
          <w:shd w:val="clear" w:color="auto" w:fill="FFFFFF"/>
          <w14:textFill>
            <w14:solidFill>
              <w14:schemeClr w14:val="tx1"/>
            </w14:solidFill>
          </w14:textFill>
        </w:rPr>
        <w:t>1</w:t>
      </w:r>
      <w:r>
        <w:rPr>
          <w:rFonts w:hint="eastAsia" w:ascii="宋体" w:hAnsi="宋体" w:eastAsia="仿宋_GB2312"/>
          <w:color w:val="000000" w:themeColor="text1"/>
          <w:sz w:val="32"/>
          <w:szCs w:val="32"/>
          <w:shd w:val="clear" w:color="auto" w:fill="FFFFFF"/>
          <w14:textFill>
            <w14:solidFill>
              <w14:schemeClr w14:val="tx1"/>
            </w14:solidFill>
          </w14:textFill>
        </w:rPr>
        <w:t>年，美国联邦应急管理署评估了美国全境的自然灾害综合风险等级，涵盖了18种灾种，3类承灾体，房屋建筑是主要的承灾体之一。但是基于真实房屋建筑调查数据的自然灾害综合风险评估相关技术与方法，目前没有形成系统性的、统一的标准。本规范首次规定了适用于我国自然灾害房屋建筑综合风险评估的指标体系、技术方法与成果表达等。</w:t>
      </w:r>
    </w:p>
    <w:p>
      <w:pPr>
        <w:widowControl/>
        <w:numPr>
          <w:ilvl w:val="0"/>
          <w:numId w:val="1"/>
        </w:num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以国际标准为基础的起草情况、是否合规引用或采用国际国外标准以及未采用国际标准的原因</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本标准在房屋建筑单体风险分级方法上参照了M</w:t>
      </w:r>
      <w:r>
        <w:rPr>
          <w:rFonts w:ascii="宋体" w:hAnsi="宋体" w:eastAsia="仿宋_GB2312"/>
          <w:color w:val="000000" w:themeColor="text1"/>
          <w:sz w:val="32"/>
          <w:szCs w:val="32"/>
          <w:shd w:val="clear" w:color="auto" w:fill="FFFFFF"/>
          <w14:textFill>
            <w14:solidFill>
              <w14:schemeClr w14:val="tx1"/>
            </w14:solidFill>
          </w14:textFill>
        </w:rPr>
        <w:t>Z/T 0.31-2012</w:t>
      </w:r>
      <w:r>
        <w:rPr>
          <w:rFonts w:hint="eastAsia" w:ascii="宋体" w:hAnsi="宋体" w:eastAsia="仿宋_GB2312"/>
          <w:color w:val="000000" w:themeColor="text1"/>
          <w:sz w:val="32"/>
          <w:szCs w:val="32"/>
          <w:shd w:val="clear" w:color="auto" w:fill="FFFFFF"/>
          <w14:textFill>
            <w14:solidFill>
              <w14:schemeClr w14:val="tx1"/>
            </w14:solidFill>
          </w14:textFill>
        </w:rPr>
        <w:t>，未以特定的国际标准为基础起草。</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六、与有关法律、行政法规和其他强制性标准的关系</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（一）与有关法律、行政法规、标准关系</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本标准相关内容符合《中华人民共和国防震减灾法》等法律法规及制度对标准化内容的要求，能够与现有的国家标准和行业标准协调配套。</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本标准参照了GB/T 26376-2010 自然灾害管理基本术语、GB/T 24438.1-2009 自然灾害灾情统计 第1部分：基本指标、GB/T 23694 风险管理术语、GB/T 20257.3-2017 国家基本比例尺地图图式、GB/T 12343.1-2008 国家基本比例尺地图编绘规范、GB/T 24354-2009 公共地理信息通用地图符号、GB/T 18317-2009 专题地图信息分类与代码等相关标准，未以特定的国际标准为基础起草。</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（二）配套推荐性标准的制定情况</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无。</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重大分歧意见的处理</w:t>
      </w:r>
      <w:r>
        <w:rPr>
          <w:rFonts w:hint="eastAsia" w:ascii="黑体" w:hAnsi="黑体" w:eastAsia="黑体"/>
          <w:sz w:val="32"/>
          <w:szCs w:val="32"/>
        </w:rPr>
        <w:t>过程、处理意见及其</w:t>
      </w:r>
      <w:r>
        <w:rPr>
          <w:rFonts w:ascii="黑体" w:hAnsi="黑体" w:eastAsia="黑体"/>
          <w:sz w:val="32"/>
          <w:szCs w:val="32"/>
        </w:rPr>
        <w:t>依据</w:t>
      </w:r>
    </w:p>
    <w:p>
      <w:pPr>
        <w:tabs>
          <w:tab w:val="left" w:pos="2010"/>
        </w:tabs>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无。</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八、作为强制性标准或推荐性标准的建议及理由</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中华人民共和国标准化法》第二条和第十条分别规定了我国标准性质分为强制性和推荐性，涉及“保障人身健康和生命财产安全、国家安全、生态环境安全以及满足经济社会管理基本需要”的标准应当为强制性标准，本标准用于提高我国房屋建筑综合风险评估的规范性、系统性和科学性，提升风险评估对房屋建筑安全的支撑作用，尚未达到强制性标准的条件，作为推荐性标准更为适宜。</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九、标准自发布日期至实施日期的过渡期建议及理由</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标准规定了自然灾害房屋建筑综合风险评估的基本要求和评估方法，提出了基本流程，以及数据准备及质量控制、风险评估、风险评估报告编制等主要阶段的方法和要求，适用于我国县级行政单元及以上区域自然灾害房屋建筑综合风险评估。标准实施主体是各级别地方政府与相关组织。</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标准自发布日期至实施日期的过渡期为6个月，建议标准实施主体参照已发布相关行业标准执行。</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十、与实施标准有关的政策措施</w:t>
      </w:r>
    </w:p>
    <w:p>
      <w:pPr>
        <w:spacing w:line="560" w:lineRule="exact"/>
        <w:ind w:firstLine="640" w:firstLineChars="200"/>
        <w:rPr>
          <w:rFonts w:ascii="宋体" w:hAnsi="宋体" w:eastAsia="仿宋_GB2312"/>
          <w:color w:val="000000" w:themeColor="text1"/>
          <w:sz w:val="32"/>
          <w:szCs w:val="32"/>
          <w:shd w:val="clear" w:color="auto" w:fill="FFFFFF"/>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本标准公开发布后，由全国应急管理与减灾救灾标准化技术委员会（SAC/TC 307）开展发布后的宣贯工作，介绍标准出台的目的和宗旨，培育建设标准化意识，引导相关行业按照标准的要求开展工作。</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十一、是否需要对外通报的建议及理由</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否。</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十二、</w:t>
      </w:r>
      <w:r>
        <w:rPr>
          <w:rFonts w:ascii="黑体" w:hAnsi="黑体" w:eastAsia="黑体"/>
          <w:sz w:val="32"/>
          <w:szCs w:val="32"/>
        </w:rPr>
        <w:t>废止现行有关标准的建议</w:t>
      </w:r>
    </w:p>
    <w:p>
      <w:pPr>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无。</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十三、涉及专利的有关说明</w:t>
      </w:r>
    </w:p>
    <w:p>
      <w:pPr>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无。</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十四、标准所涉及的产品、过程或者服务目录</w:t>
      </w:r>
    </w:p>
    <w:p>
      <w:pPr>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无。</w:t>
      </w:r>
    </w:p>
    <w:p>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十五、其他</w:t>
      </w:r>
      <w:r>
        <w:rPr>
          <w:rFonts w:ascii="黑体" w:hAnsi="黑体" w:eastAsia="黑体"/>
          <w:sz w:val="32"/>
          <w:szCs w:val="32"/>
        </w:rPr>
        <w:t>应予以说明的事项</w:t>
      </w:r>
    </w:p>
    <w:p>
      <w:pPr>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无。</w:t>
      </w:r>
    </w:p>
    <w:sectPr>
      <w:footerReference r:id="rId3" w:type="default"/>
      <w:pgSz w:w="11906" w:h="16838"/>
      <w:pgMar w:top="1701" w:right="1474" w:bottom="147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ejaVu Sans">
    <w:altName w:val="Sylfaen"/>
    <w:panose1 w:val="020B0603030804020204"/>
    <w:charset w:val="00"/>
    <w:family w:val="swiss"/>
    <w:pitch w:val="default"/>
    <w:sig w:usb0="00000000" w:usb1="00000000" w:usb2="0A246029" w:usb3="00000000" w:csb0="000001FF" w:csb1="00000000"/>
  </w:font>
  <w:font w:name="Times New Roman Regular">
    <w:altName w:val="Times New Roman"/>
    <w:panose1 w:val="00000000000000000000"/>
    <w:charset w:val="00"/>
    <w:family w:val="auto"/>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fldChar w:fldCharType="begin"/>
                          </w:r>
                          <w:r>
                            <w:rPr>
                              <w:rFonts w:hint="eastAsia" w:asciiTheme="minorEastAsia" w:hAnsiTheme="minorEastAsia" w:eastAsiaTheme="minorEastAsia" w:cstheme="minorEastAsia"/>
                              <w:sz w:val="21"/>
                            </w:rPr>
                            <w:instrText xml:space="preserve"> PAGE  \* MERGEFORMAT </w:instrText>
                          </w:r>
                          <w:r>
                            <w:rPr>
                              <w:rFonts w:hint="eastAsia" w:asciiTheme="minorEastAsia" w:hAnsiTheme="minorEastAsia" w:eastAsiaTheme="minorEastAsia" w:cstheme="minorEastAsia"/>
                              <w:sz w:val="21"/>
                            </w:rPr>
                            <w:fldChar w:fldCharType="separate"/>
                          </w:r>
                          <w:r>
                            <w:rPr>
                              <w:rFonts w:asciiTheme="minorEastAsia" w:hAnsiTheme="minorEastAsia" w:eastAsiaTheme="minorEastAsia" w:cstheme="minorEastAsia"/>
                              <w:sz w:val="21"/>
                            </w:rPr>
                            <w:t>8</w:t>
                          </w:r>
                          <w:r>
                            <w:rPr>
                              <w:rFonts w:hint="eastAsia" w:asciiTheme="minorEastAsia" w:hAnsiTheme="minorEastAsia" w:eastAsiaTheme="minorEastAsia" w:cstheme="minorEastAsia"/>
                              <w:sz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fldChar w:fldCharType="begin"/>
                    </w:r>
                    <w:r>
                      <w:rPr>
                        <w:rFonts w:hint="eastAsia" w:asciiTheme="minorEastAsia" w:hAnsiTheme="minorEastAsia" w:eastAsiaTheme="minorEastAsia" w:cstheme="minorEastAsia"/>
                        <w:sz w:val="21"/>
                      </w:rPr>
                      <w:instrText xml:space="preserve"> PAGE  \* MERGEFORMAT </w:instrText>
                    </w:r>
                    <w:r>
                      <w:rPr>
                        <w:rFonts w:hint="eastAsia" w:asciiTheme="minorEastAsia" w:hAnsiTheme="minorEastAsia" w:eastAsiaTheme="minorEastAsia" w:cstheme="minorEastAsia"/>
                        <w:sz w:val="21"/>
                      </w:rPr>
                      <w:fldChar w:fldCharType="separate"/>
                    </w:r>
                    <w:r>
                      <w:rPr>
                        <w:rFonts w:asciiTheme="minorEastAsia" w:hAnsiTheme="minorEastAsia" w:eastAsiaTheme="minorEastAsia" w:cstheme="minorEastAsia"/>
                        <w:sz w:val="21"/>
                      </w:rPr>
                      <w:t>8</w:t>
                    </w:r>
                    <w:r>
                      <w:rPr>
                        <w:rFonts w:hint="eastAsia" w:asciiTheme="minorEastAsia" w:hAnsiTheme="minorEastAsia" w:eastAsiaTheme="minorEastAsia" w:cstheme="minorEastAsia"/>
                        <w:sz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1F11B1"/>
    <w:multiLevelType w:val="singleLevel"/>
    <w:tmpl w:val="671F11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0NjQzNDU0tTAzMbJQ0lEKTi0uzszPAykwrgUAAfXmpiwAAAA="/>
    <w:docVar w:name="commondata" w:val="eyJoZGlkIjoiNmM3ZjYxNjIzZTFlNzA4OGZkY2E3YTYzNjQ0YWYzNDcifQ=="/>
  </w:docVars>
  <w:rsids>
    <w:rsidRoot w:val="004E1B83"/>
    <w:rsid w:val="00042E12"/>
    <w:rsid w:val="00066EC4"/>
    <w:rsid w:val="000D6E71"/>
    <w:rsid w:val="001D44CF"/>
    <w:rsid w:val="001D6884"/>
    <w:rsid w:val="001F1366"/>
    <w:rsid w:val="001F77F3"/>
    <w:rsid w:val="00216A90"/>
    <w:rsid w:val="00220C1D"/>
    <w:rsid w:val="00247002"/>
    <w:rsid w:val="00255A21"/>
    <w:rsid w:val="002755EB"/>
    <w:rsid w:val="003C1BC8"/>
    <w:rsid w:val="003E6D86"/>
    <w:rsid w:val="00410144"/>
    <w:rsid w:val="004870A9"/>
    <w:rsid w:val="004A3CBC"/>
    <w:rsid w:val="004E1AFE"/>
    <w:rsid w:val="004E1B83"/>
    <w:rsid w:val="005671CC"/>
    <w:rsid w:val="005B7068"/>
    <w:rsid w:val="00600B38"/>
    <w:rsid w:val="006330EB"/>
    <w:rsid w:val="006508D8"/>
    <w:rsid w:val="00711111"/>
    <w:rsid w:val="0072619E"/>
    <w:rsid w:val="00731DD1"/>
    <w:rsid w:val="00874AAD"/>
    <w:rsid w:val="00876467"/>
    <w:rsid w:val="0088672F"/>
    <w:rsid w:val="008C6714"/>
    <w:rsid w:val="008D6AEA"/>
    <w:rsid w:val="008E0A0A"/>
    <w:rsid w:val="00A74DF0"/>
    <w:rsid w:val="00AB1306"/>
    <w:rsid w:val="00AE4C1F"/>
    <w:rsid w:val="00B07FD9"/>
    <w:rsid w:val="00B65B8C"/>
    <w:rsid w:val="00B718F2"/>
    <w:rsid w:val="00BB2C2F"/>
    <w:rsid w:val="00BB6740"/>
    <w:rsid w:val="00C4047C"/>
    <w:rsid w:val="00C4156B"/>
    <w:rsid w:val="00C523D7"/>
    <w:rsid w:val="00CB2673"/>
    <w:rsid w:val="00CF4BDE"/>
    <w:rsid w:val="00D10621"/>
    <w:rsid w:val="00DB428A"/>
    <w:rsid w:val="00DF613E"/>
    <w:rsid w:val="00E44FF1"/>
    <w:rsid w:val="00E46C9B"/>
    <w:rsid w:val="00E552AD"/>
    <w:rsid w:val="00E9604E"/>
    <w:rsid w:val="01081B92"/>
    <w:rsid w:val="03037DEF"/>
    <w:rsid w:val="0DFC1827"/>
    <w:rsid w:val="0FCBACCA"/>
    <w:rsid w:val="16D57191"/>
    <w:rsid w:val="1B381FF2"/>
    <w:rsid w:val="25FF04D1"/>
    <w:rsid w:val="27ED06E2"/>
    <w:rsid w:val="27FD0A85"/>
    <w:rsid w:val="29FE7913"/>
    <w:rsid w:val="2FCECE81"/>
    <w:rsid w:val="337F9B54"/>
    <w:rsid w:val="35A46BE2"/>
    <w:rsid w:val="39FF4F3D"/>
    <w:rsid w:val="3BBD0811"/>
    <w:rsid w:val="3F1B8615"/>
    <w:rsid w:val="3F6CD1B3"/>
    <w:rsid w:val="3FCF4424"/>
    <w:rsid w:val="3FEFFAA8"/>
    <w:rsid w:val="4B6A003B"/>
    <w:rsid w:val="4E6923DD"/>
    <w:rsid w:val="4EAE49CA"/>
    <w:rsid w:val="4F37E084"/>
    <w:rsid w:val="54C26F7D"/>
    <w:rsid w:val="56A25A40"/>
    <w:rsid w:val="5F7FAAED"/>
    <w:rsid w:val="62370E3B"/>
    <w:rsid w:val="67AD5426"/>
    <w:rsid w:val="67EFFFB4"/>
    <w:rsid w:val="67FC8383"/>
    <w:rsid w:val="6FFADCFD"/>
    <w:rsid w:val="72FE2135"/>
    <w:rsid w:val="761D69DE"/>
    <w:rsid w:val="779A2443"/>
    <w:rsid w:val="77BFE4FE"/>
    <w:rsid w:val="79BE677A"/>
    <w:rsid w:val="7FFF4B40"/>
    <w:rsid w:val="8E6D2493"/>
    <w:rsid w:val="91BE79F8"/>
    <w:rsid w:val="9DDD2C96"/>
    <w:rsid w:val="ABFA57AC"/>
    <w:rsid w:val="B79FD953"/>
    <w:rsid w:val="BF1F8FC3"/>
    <w:rsid w:val="CECB3CCF"/>
    <w:rsid w:val="CF5FF061"/>
    <w:rsid w:val="DDBBB9F1"/>
    <w:rsid w:val="DEF79A1D"/>
    <w:rsid w:val="E9FF7D26"/>
    <w:rsid w:val="EA72ABDE"/>
    <w:rsid w:val="EEFF1031"/>
    <w:rsid w:val="F573FD46"/>
    <w:rsid w:val="F78DE132"/>
    <w:rsid w:val="F8FB5326"/>
    <w:rsid w:val="FAFFB2D8"/>
    <w:rsid w:val="FCAB55FA"/>
    <w:rsid w:val="FDA19945"/>
    <w:rsid w:val="FDEE0FF8"/>
    <w:rsid w:val="FDFB0750"/>
    <w:rsid w:val="FEFFEF4A"/>
    <w:rsid w:val="FF2C39F1"/>
    <w:rsid w:val="FF6B8C4B"/>
    <w:rsid w:val="FFEC1BAF"/>
    <w:rsid w:val="FFFD68E5"/>
    <w:rsid w:val="FFFEA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标题 #2_"/>
    <w:link w:val="15"/>
    <w:qFormat/>
    <w:uiPriority w:val="0"/>
    <w:rPr>
      <w:rFonts w:ascii="Times New Roman Regular" w:hAnsi="Times New Roman Regular" w:eastAsia="黑体" w:cs="Times New Roman Regular"/>
      <w:bCs/>
      <w:sz w:val="24"/>
      <w:szCs w:val="24"/>
    </w:rPr>
  </w:style>
  <w:style w:type="paragraph" w:customStyle="1" w:styleId="15">
    <w:name w:val="标题 #2"/>
    <w:basedOn w:val="1"/>
    <w:link w:val="14"/>
    <w:qFormat/>
    <w:uiPriority w:val="0"/>
    <w:pPr>
      <w:spacing w:before="120" w:beforeLines="50" w:after="120" w:afterLines="50" w:line="400" w:lineRule="exact"/>
      <w:ind w:right="159"/>
      <w:outlineLvl w:val="1"/>
    </w:pPr>
    <w:rPr>
      <w:rFonts w:ascii="Times New Roman Regular" w:hAnsi="Times New Roman Regular" w:eastAsia="黑体" w:cs="Times New Roman Regular"/>
      <w:bCs/>
      <w:sz w:val="24"/>
      <w:szCs w:val="24"/>
      <w:shd w:val="clear" w:color="auto" w:fill="FFFFFF"/>
    </w:rPr>
  </w:style>
  <w:style w:type="paragraph" w:customStyle="1" w:styleId="16">
    <w:name w:val="标题3"/>
    <w:basedOn w:val="2"/>
    <w:next w:val="2"/>
    <w:qFormat/>
    <w:uiPriority w:val="0"/>
    <w:rPr>
      <w:sz w:val="24"/>
    </w:rPr>
  </w:style>
  <w:style w:type="character" w:customStyle="1" w:styleId="17">
    <w:name w:val="批注文字 Char"/>
    <w:basedOn w:val="10"/>
    <w:link w:val="3"/>
    <w:semiHidden/>
    <w:qFormat/>
    <w:uiPriority w:val="99"/>
    <w:rPr>
      <w:rFonts w:ascii="Calibri" w:hAnsi="Calibri" w:eastAsia="宋体"/>
      <w:kern w:val="2"/>
      <w:sz w:val="21"/>
      <w:szCs w:val="21"/>
    </w:rPr>
  </w:style>
  <w:style w:type="character" w:customStyle="1" w:styleId="18">
    <w:name w:val="批注主题 Char"/>
    <w:basedOn w:val="17"/>
    <w:link w:val="7"/>
    <w:semiHidden/>
    <w:qFormat/>
    <w:uiPriority w:val="99"/>
    <w:rPr>
      <w:rFonts w:ascii="Calibri" w:hAnsi="Calibri" w:eastAsia="宋体"/>
      <w:b/>
      <w:bCs/>
      <w:kern w:val="2"/>
      <w:sz w:val="21"/>
      <w:szCs w:val="21"/>
    </w:rPr>
  </w:style>
  <w:style w:type="character" w:customStyle="1" w:styleId="19">
    <w:name w:val="批注框文本 Char"/>
    <w:basedOn w:val="10"/>
    <w:link w:val="4"/>
    <w:semiHidden/>
    <w:qFormat/>
    <w:uiPriority w:val="99"/>
    <w:rPr>
      <w:rFonts w:ascii="Calibri" w:hAnsi="Calibri" w:eastAsia="宋体"/>
      <w:kern w:val="2"/>
      <w:sz w:val="18"/>
      <w:szCs w:val="18"/>
    </w:rPr>
  </w:style>
  <w:style w:type="paragraph" w:customStyle="1" w:styleId="20">
    <w:name w:val="修订1"/>
    <w:hidden/>
    <w:semiHidden/>
    <w:uiPriority w:val="99"/>
    <w:rPr>
      <w:rFonts w:ascii="Calibri" w:hAnsi="Calibri" w:eastAsia="宋体" w:cs="Times New Roman"/>
      <w:kern w:val="2"/>
      <w:sz w:val="21"/>
      <w:szCs w:val="21"/>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D679A-7115-4F24-9B7C-10025EED9565}">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542</Words>
  <Characters>3096</Characters>
  <Lines>25</Lines>
  <Paragraphs>7</Paragraphs>
  <TotalTime>13</TotalTime>
  <ScaleCrop>false</ScaleCrop>
  <LinksUpToDate>false</LinksUpToDate>
  <CharactersWithSpaces>3631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2023-05-09T08:50:00Z</dcterms:created>
  <dc:creator>ni huihui</dc:creator>
  <cp:lastModifiedBy>振营</cp:lastModifiedBy>
  <cp:lastPrinted>2022-04-23T12:19:00Z</cp:lastPrinted>
  <dcterms:modified xsi:type="dcterms:W3CDTF">2023-10-27T08:12:17Z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1DDA7D4FA1D749AAB5A5630399400DE0_13</vt:lpwstr>
  </property>
</Properties>
</file>