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 </w:t>
      </w:r>
    </w:p>
    <w:p>
      <w:pPr>
        <w:pStyle w:val="14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bdr w:val="none" w:color="auto" w:sz="0" w:space="0"/>
        </w:rPr>
        <w:t>关于首批创建应急管理部重点实验室</w:t>
      </w:r>
    </w:p>
    <w:p>
      <w:pPr>
        <w:pStyle w:val="14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bdr w:val="none" w:color="auto" w:sz="0" w:space="0"/>
        </w:rPr>
        <w:t>验收情况和重点培育应急管理部</w:t>
      </w:r>
    </w:p>
    <w:p>
      <w:pPr>
        <w:pStyle w:val="14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bdr w:val="none" w:color="auto" w:sz="0" w:space="0"/>
        </w:rPr>
        <w:t>重点实验室评审情况的公示</w:t>
      </w:r>
      <w:bookmarkEnd w:id="0"/>
    </w:p>
    <w:p>
      <w:pPr>
        <w:pStyle w:val="14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 </w:t>
      </w:r>
    </w:p>
    <w:p>
      <w:pPr>
        <w:pStyle w:val="1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5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按照《应急管理部关于批准建设应急管理部重点实验室的通知》（应急函〔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2021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114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号）有关要求，“油气生产安全与应急技术”等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13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个首批创建重点实验室和“医学救援关键技术装备”等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9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个重点培育重点实验室已通过专家验收及评审，拟分别纳入应急管理部重点实验室正式运行序列和创建序列，现将有关情况予以公示，公示时间为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2022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12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21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日至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12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27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日。</w:t>
      </w:r>
    </w:p>
    <w:p>
      <w:pPr>
        <w:pStyle w:val="1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5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在公示期内，如对公示信息有异议，可以以书面形式向应急管理部科技和信息化司反映。以单位名义反映的要加盖单位公章，以个人名义反映的要提供个人真实信息并附联系方式。匿名或超出公示期的举报，不予受理。</w:t>
      </w:r>
    </w:p>
    <w:p>
      <w:pPr>
        <w:pStyle w:val="14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　　传  真：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010-83933700</w:t>
      </w:r>
    </w:p>
    <w:p>
      <w:pPr>
        <w:pStyle w:val="14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　　通讯地址：北京市西城区广安门南街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70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号应急管理部科技和信息化司</w:t>
      </w:r>
    </w:p>
    <w:p>
      <w:pPr>
        <w:pStyle w:val="1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5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邮  编：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100054</w:t>
      </w:r>
    </w:p>
    <w:p>
      <w:pPr>
        <w:pStyle w:val="14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pStyle w:val="14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pStyle w:val="1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5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附件：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1.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首批创建应急管理部重点实验室验收情况</w:t>
      </w:r>
    </w:p>
    <w:p>
      <w:pPr>
        <w:pStyle w:val="1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1622" w:firstLineChars="507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2.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重点培育应急管理部重点实验室评审情况</w:t>
      </w:r>
    </w:p>
    <w:p>
      <w:pPr>
        <w:pStyle w:val="14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 </w:t>
      </w:r>
    </w:p>
    <w:p>
      <w:pPr>
        <w:pStyle w:val="14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 </w:t>
      </w:r>
    </w:p>
    <w:p>
      <w:pPr>
        <w:pStyle w:val="14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应急管理部科技和信息化司</w:t>
      </w:r>
    </w:p>
    <w:p>
      <w:pPr>
        <w:pStyle w:val="14"/>
        <w:keepNext w:val="0"/>
        <w:keepLines w:val="0"/>
        <w:widowControl/>
        <w:suppressLineNumbers w:val="0"/>
        <w:spacing w:before="0" w:beforeAutospacing="0" w:after="0" w:afterAutospacing="0"/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2022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12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20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日</w:t>
      </w:r>
    </w:p>
    <w:p>
      <w:pPr>
        <w:pStyle w:val="14"/>
        <w:keepNext w:val="0"/>
        <w:keepLines w:val="0"/>
        <w:widowControl/>
        <w:suppressLineNumbers w:val="0"/>
        <w:spacing w:before="0" w:beforeAutospacing="0" w:after="0" w:afterAutospacing="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4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附件1</w:t>
      </w:r>
    </w:p>
    <w:p>
      <w:pPr>
        <w:pStyle w:val="14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 </w:t>
      </w:r>
    </w:p>
    <w:p>
      <w:pPr>
        <w:pStyle w:val="14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首批创建应急管理部重点实验室验收情况</w:t>
      </w:r>
    </w:p>
    <w:tbl>
      <w:tblPr>
        <w:tblStyle w:val="15"/>
        <w:tblW w:w="1447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2338"/>
        <w:gridCol w:w="9731"/>
        <w:gridCol w:w="17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219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实验室名称</w:t>
            </w:r>
          </w:p>
        </w:tc>
        <w:tc>
          <w:tcPr>
            <w:tcW w:w="91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依托单位</w:t>
            </w:r>
          </w:p>
        </w:tc>
        <w:tc>
          <w:tcPr>
            <w:tcW w:w="1626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验收结果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油气生产安全与应急技术</w:t>
            </w:r>
          </w:p>
        </w:tc>
        <w:tc>
          <w:tcPr>
            <w:tcW w:w="9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中国石油大学（北京）、应急管理部国家安全科学与工程研究院</w:t>
            </w:r>
          </w:p>
        </w:tc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城市安全风险监测预警</w:t>
            </w:r>
          </w:p>
        </w:tc>
        <w:tc>
          <w:tcPr>
            <w:tcW w:w="9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深圳市城市公共安全技术研究院有限公司、同济大学、应急管理部大数据中心</w:t>
            </w:r>
          </w:p>
        </w:tc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应急卫星工程与应用</w:t>
            </w:r>
          </w:p>
        </w:tc>
        <w:tc>
          <w:tcPr>
            <w:tcW w:w="9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应急管理部国家减灾中心、应急管理部国家自然灾害防治研究院、中国科学院空天信息创新研究院、中国空间技术研究院</w:t>
            </w:r>
          </w:p>
        </w:tc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应急指挥通信技术应用创新</w:t>
            </w:r>
          </w:p>
        </w:tc>
        <w:tc>
          <w:tcPr>
            <w:tcW w:w="9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应急管理部大数据中心、北京邮电大学、西安电子科技大学</w:t>
            </w:r>
          </w:p>
        </w:tc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重大危险源与化工园区系统安全</w:t>
            </w:r>
          </w:p>
        </w:tc>
        <w:tc>
          <w:tcPr>
            <w:tcW w:w="9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中国安全生产科学研究院、中国石油大学（华东）</w:t>
            </w:r>
          </w:p>
        </w:tc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地震灾害防治</w:t>
            </w:r>
          </w:p>
        </w:tc>
        <w:tc>
          <w:tcPr>
            <w:tcW w:w="9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中国地震局工程力学研究所、哈尔滨工业大学</w:t>
            </w:r>
          </w:p>
        </w:tc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森林草原火灾风险防控</w:t>
            </w:r>
          </w:p>
        </w:tc>
        <w:tc>
          <w:tcPr>
            <w:tcW w:w="9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中国消防救援学院、应急管理部国家自然灾害防治研究院、北京林业大学</w:t>
            </w:r>
          </w:p>
        </w:tc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灭火救援技术与装备</w:t>
            </w:r>
          </w:p>
        </w:tc>
        <w:tc>
          <w:tcPr>
            <w:tcW w:w="9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应急管理部上海消防研究所、江苏大学</w:t>
            </w:r>
          </w:p>
        </w:tc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工业互联网+危化品安全生产</w:t>
            </w:r>
          </w:p>
        </w:tc>
        <w:tc>
          <w:tcPr>
            <w:tcW w:w="9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南京工业大学、中国安全生产科学研究院、中国工业互联网研究院</w:t>
            </w:r>
          </w:p>
        </w:tc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复合链生自然灾害动力学</w:t>
            </w:r>
          </w:p>
        </w:tc>
        <w:tc>
          <w:tcPr>
            <w:tcW w:w="9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应急管理部国家自然灾害防治研究院、中国科学院地理科学与资源研究所</w:t>
            </w:r>
          </w:p>
        </w:tc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工业与公共建筑火灾防控技术</w:t>
            </w:r>
          </w:p>
        </w:tc>
        <w:tc>
          <w:tcPr>
            <w:tcW w:w="9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应急管理部天津消防研究所、中国安全生产科学研究院、中国消防救援学院</w:t>
            </w:r>
          </w:p>
        </w:tc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地质灾害风险防控与应急减灾</w:t>
            </w:r>
          </w:p>
        </w:tc>
        <w:tc>
          <w:tcPr>
            <w:tcW w:w="9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中国科学院水利部成都山地灾害与环境研究所、应急管理部国家自然灾害防治研究院、昆明理工大学</w:t>
            </w:r>
          </w:p>
        </w:tc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3" w:type="dxa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煤矿智能化与机器人创新应用</w:t>
            </w:r>
          </w:p>
        </w:tc>
        <w:tc>
          <w:tcPr>
            <w:tcW w:w="91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应急管理部国家安全科学与工程研究院、中国矿业大学（北京）、中国科学院自动化研究所</w:t>
            </w:r>
          </w:p>
        </w:tc>
        <w:tc>
          <w:tcPr>
            <w:tcW w:w="162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通过</w:t>
            </w:r>
          </w:p>
        </w:tc>
      </w:tr>
    </w:tbl>
    <w:p>
      <w:pPr>
        <w:pStyle w:val="14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附件2</w:t>
      </w:r>
    </w:p>
    <w:p>
      <w:pPr>
        <w:pStyle w:val="14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 </w:t>
      </w:r>
    </w:p>
    <w:p>
      <w:pPr>
        <w:pStyle w:val="14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重点培育应急管理部重点实验室评审情况</w:t>
      </w:r>
    </w:p>
    <w:tbl>
      <w:tblPr>
        <w:tblStyle w:val="15"/>
        <w:tblW w:w="1447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2338"/>
        <w:gridCol w:w="9580"/>
        <w:gridCol w:w="18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219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实验室名称</w:t>
            </w:r>
          </w:p>
        </w:tc>
        <w:tc>
          <w:tcPr>
            <w:tcW w:w="899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依托单位</w:t>
            </w:r>
          </w:p>
        </w:tc>
        <w:tc>
          <w:tcPr>
            <w:tcW w:w="1768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评审结果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医学救援关键技术装备</w:t>
            </w:r>
          </w:p>
        </w:tc>
        <w:tc>
          <w:tcPr>
            <w:tcW w:w="8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应急总医院、天津大学、天津大学温州安全（应急）研究院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大数据与人工智能应用创新</w:t>
            </w:r>
          </w:p>
        </w:tc>
        <w:tc>
          <w:tcPr>
            <w:tcW w:w="8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应急管理部大数据中心、清华大学合肥公共安全研究院、北京百度网讯科技有限公司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防火阻燃技术</w:t>
            </w:r>
          </w:p>
        </w:tc>
        <w:tc>
          <w:tcPr>
            <w:tcW w:w="8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应急管理部四川消防研究所、四川大学、同济大学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灾害链监测评估与风险防范</w:t>
            </w:r>
          </w:p>
        </w:tc>
        <w:tc>
          <w:tcPr>
            <w:tcW w:w="8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应急管理部国家减灾中心、武汉大学、中国科学院地理科学与资源研究所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智能装备</w:t>
            </w:r>
          </w:p>
        </w:tc>
        <w:tc>
          <w:tcPr>
            <w:tcW w:w="8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浙江大学、新兴际华（杭州）智能装备有限公司、应急管理部国家安全科学与工程研究院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城市道路与地下空间安全检测与评价</w:t>
            </w:r>
          </w:p>
        </w:tc>
        <w:tc>
          <w:tcPr>
            <w:tcW w:w="8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应急管理部国家安全科学与工程研究院、中国矿业大学（北京）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工业安全事故分析与监测预警</w:t>
            </w:r>
          </w:p>
        </w:tc>
        <w:tc>
          <w:tcPr>
            <w:tcW w:w="8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华北科技学院、中国科学院合肥物质科学研究院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无人机应急救援技术</w:t>
            </w:r>
          </w:p>
        </w:tc>
        <w:tc>
          <w:tcPr>
            <w:tcW w:w="8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中国消防救援学院、中国科学院工程热物理研究所、深圳市大疆创新科技有限公司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33" w:type="dxa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氢能安全</w:t>
            </w:r>
          </w:p>
        </w:tc>
        <w:tc>
          <w:tcPr>
            <w:tcW w:w="899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中国石油化工股份有限公司青岛安全工程研究院</w:t>
            </w:r>
          </w:p>
        </w:tc>
        <w:tc>
          <w:tcPr>
            <w:tcW w:w="176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通过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AAA37"/>
    <w:multiLevelType w:val="multilevel"/>
    <w:tmpl w:val="958AAA37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sz w:val="32"/>
        <w:szCs w:val="32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44BF1D51"/>
    <w:multiLevelType w:val="multilevel"/>
    <w:tmpl w:val="44BF1D51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0" w:firstLine="0"/>
      </w:pPr>
      <w:rPr>
        <w:rFonts w:hint="eastAsia"/>
        <w:b/>
        <w:i w:val="0"/>
        <w:spacing w:val="0"/>
      </w:rPr>
    </w:lvl>
    <w:lvl w:ilvl="1" w:tentative="0">
      <w:start w:val="1"/>
      <w:numFmt w:val="decimal"/>
      <w:pStyle w:val="19"/>
      <w:isLgl/>
      <w:suff w:val="space"/>
      <w:lvlText w:val="%1.%2"/>
      <w:lvlJc w:val="left"/>
      <w:pPr>
        <w:ind w:left="0" w:firstLine="0"/>
      </w:pPr>
      <w:rPr>
        <w:rFonts w:hint="eastAsia"/>
        <w:color w:val="000000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30C535B"/>
    <w:rsid w:val="07661698"/>
    <w:rsid w:val="08D24799"/>
    <w:rsid w:val="145A6AD6"/>
    <w:rsid w:val="26450417"/>
    <w:rsid w:val="377027F8"/>
    <w:rsid w:val="42A904BA"/>
    <w:rsid w:val="430C535B"/>
    <w:rsid w:val="433B0088"/>
    <w:rsid w:val="59432850"/>
    <w:rsid w:val="760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numPr>
        <w:ilvl w:val="1"/>
        <w:numId w:val="2"/>
      </w:numPr>
      <w:tabs>
        <w:tab w:val="left" w:pos="432"/>
      </w:tabs>
      <w:spacing w:before="260" w:after="260" w:line="416" w:lineRule="auto"/>
      <w:outlineLvl w:val="1"/>
    </w:pPr>
    <w:rPr>
      <w:rFonts w:ascii="Times New Roman" w:hAnsi="Times New Roman" w:eastAsia="楷体" w:cs="Times New Roman"/>
      <w:b/>
      <w:bCs/>
      <w:sz w:val="32"/>
      <w:szCs w:val="32"/>
    </w:rPr>
  </w:style>
  <w:style w:type="paragraph" w:styleId="4">
    <w:name w:val="heading 3"/>
    <w:next w:val="1"/>
    <w:link w:val="18"/>
    <w:semiHidden/>
    <w:unhideWhenUsed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ascii="Times New Roman" w:hAnsi="Times New Roman" w:eastAsia="方正仿宋_GB2312" w:cstheme="minorBidi"/>
      <w:b/>
      <w:bCs/>
      <w:kern w:val="2"/>
      <w:sz w:val="32"/>
      <w:szCs w:val="32"/>
      <w:lang w:val="en-US" w:eastAsia="zh-CN" w:bidi="ar-SA"/>
    </w:rPr>
  </w:style>
  <w:style w:type="paragraph" w:styleId="5">
    <w:name w:val="heading 4"/>
    <w:next w:val="1"/>
    <w:link w:val="20"/>
    <w:semiHidden/>
    <w:unhideWhenUsed/>
    <w:qFormat/>
    <w:uiPriority w:val="0"/>
    <w:pPr>
      <w:keepNext/>
      <w:keepLines/>
      <w:numPr>
        <w:ilvl w:val="3"/>
        <w:numId w:val="2"/>
      </w:numPr>
      <w:spacing w:before="120" w:after="120" w:line="360" w:lineRule="auto"/>
      <w:ind w:left="864" w:hanging="864"/>
      <w:outlineLvl w:val="3"/>
    </w:pPr>
    <w:rPr>
      <w:rFonts w:ascii="Times New Roman" w:hAnsi="Times New Roman" w:eastAsia="方正仿宋_GB2312" w:cstheme="minorBidi"/>
      <w:b/>
      <w:bCs/>
      <w:kern w:val="2"/>
      <w:sz w:val="32"/>
      <w:szCs w:val="28"/>
      <w:lang w:val="en-US" w:eastAsia="zh-CN" w:bidi="ar-SA"/>
    </w:rPr>
  </w:style>
  <w:style w:type="paragraph" w:styleId="6">
    <w:name w:val="heading 5"/>
    <w:next w:val="1"/>
    <w:link w:val="21"/>
    <w:semiHidden/>
    <w:unhideWhenUsed/>
    <w:qFormat/>
    <w:uiPriority w:val="0"/>
    <w:pPr>
      <w:numPr>
        <w:ilvl w:val="4"/>
        <w:numId w:val="2"/>
      </w:numPr>
      <w:spacing w:before="120" w:after="120" w:line="360" w:lineRule="auto"/>
      <w:ind w:left="1008" w:hanging="1008"/>
      <w:outlineLvl w:val="4"/>
    </w:pPr>
    <w:rPr>
      <w:rFonts w:ascii="Times New Roman" w:hAnsi="Times New Roman" w:eastAsia="方正仿宋_GB2312" w:cstheme="minorBidi"/>
      <w:b/>
      <w:bCs/>
      <w:kern w:val="2"/>
      <w:sz w:val="32"/>
      <w:szCs w:val="32"/>
      <w:lang w:val="en-US" w:eastAsia="zh-CN" w:bidi="ar-SA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iPriority w:val="0"/>
  </w:style>
  <w:style w:type="table" w:default="1" w:styleId="1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uiPriority w:val="0"/>
    <w:pPr>
      <w:tabs>
        <w:tab w:val="left" w:pos="1754"/>
        <w:tab w:val="right" w:leader="dot" w:pos="8364"/>
      </w:tabs>
      <w:spacing w:line="300" w:lineRule="auto"/>
      <w:ind w:left="284" w:firstLine="720" w:firstLineChars="300"/>
      <w:jc w:val="left"/>
    </w:pPr>
    <w:rPr>
      <w:rFonts w:ascii="Times New Roman" w:hAnsi="Times New Roman" w:eastAsia="方正仿宋_GB2312" w:cs="Times New Roman"/>
      <w:sz w:val="24"/>
      <w:szCs w:val="20"/>
    </w:rPr>
  </w:style>
  <w:style w:type="paragraph" w:styleId="12">
    <w:name w:val="toc 1"/>
    <w:basedOn w:val="1"/>
    <w:next w:val="1"/>
    <w:uiPriority w:val="0"/>
    <w:pPr>
      <w:tabs>
        <w:tab w:val="left" w:pos="630"/>
        <w:tab w:val="left" w:pos="1050"/>
        <w:tab w:val="right" w:leader="dot" w:pos="8364"/>
      </w:tabs>
      <w:spacing w:before="120" w:after="120"/>
      <w:jc w:val="center"/>
    </w:pPr>
    <w:rPr>
      <w:rFonts w:ascii="Times New Roman" w:hAnsi="Times New Roman" w:eastAsia="方正仿宋_GB2312" w:cs="Times New Roman"/>
      <w:b/>
      <w:bCs/>
      <w:sz w:val="24"/>
      <w:szCs w:val="36"/>
    </w:rPr>
  </w:style>
  <w:style w:type="paragraph" w:styleId="13">
    <w:name w:val="toc 4"/>
    <w:next w:val="1"/>
    <w:uiPriority w:val="0"/>
    <w:pPr>
      <w:tabs>
        <w:tab w:val="right" w:leader="dot" w:pos="8296"/>
      </w:tabs>
      <w:ind w:left="720" w:leftChars="300"/>
    </w:pPr>
    <w:rPr>
      <w:rFonts w:ascii="Times New Roman" w:hAnsi="Times New Roman" w:eastAsia="方正仿宋_GB2312" w:cstheme="minorBidi"/>
      <w:kern w:val="2"/>
      <w:sz w:val="24"/>
      <w:szCs w:val="21"/>
      <w:lang w:val="en-US" w:eastAsia="zh-CN" w:bidi="ar-SA"/>
    </w:rPr>
  </w:style>
  <w:style w:type="paragraph" w:styleId="1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7">
    <w:name w:val="标题 2 Char"/>
    <w:link w:val="3"/>
    <w:uiPriority w:val="0"/>
    <w:rPr>
      <w:rFonts w:ascii="Times New Roman" w:hAnsi="Times New Roman" w:eastAsia="楷体"/>
      <w:b/>
      <w:bCs/>
      <w:kern w:val="2"/>
      <w:sz w:val="32"/>
      <w:szCs w:val="32"/>
    </w:rPr>
  </w:style>
  <w:style w:type="character" w:customStyle="1" w:styleId="18">
    <w:name w:val="标题 3 Char"/>
    <w:link w:val="4"/>
    <w:uiPriority w:val="0"/>
    <w:rPr>
      <w:rFonts w:ascii="Times New Roman" w:hAnsi="Times New Roman" w:eastAsia="方正仿宋_GB2312"/>
      <w:b/>
      <w:bCs/>
      <w:kern w:val="2"/>
      <w:sz w:val="32"/>
      <w:szCs w:val="32"/>
    </w:rPr>
  </w:style>
  <w:style w:type="paragraph" w:customStyle="1" w:styleId="19">
    <w:name w:val="标题3-"/>
    <w:basedOn w:val="1"/>
    <w:uiPriority w:val="0"/>
    <w:pPr>
      <w:numPr>
        <w:ilvl w:val="1"/>
        <w:numId w:val="1"/>
      </w:numPr>
    </w:pPr>
  </w:style>
  <w:style w:type="character" w:customStyle="1" w:styleId="20">
    <w:name w:val="标题 4 Char"/>
    <w:link w:val="5"/>
    <w:uiPriority w:val="0"/>
    <w:rPr>
      <w:rFonts w:ascii="Times New Roman" w:hAnsi="Times New Roman" w:eastAsia="方正仿宋_GB2312"/>
      <w:b/>
      <w:bCs/>
      <w:kern w:val="2"/>
      <w:sz w:val="32"/>
      <w:szCs w:val="28"/>
    </w:rPr>
  </w:style>
  <w:style w:type="character" w:customStyle="1" w:styleId="21">
    <w:name w:val="标题 5 Char"/>
    <w:link w:val="6"/>
    <w:uiPriority w:val="0"/>
    <w:rPr>
      <w:rFonts w:ascii="Times New Roman" w:hAnsi="Times New Roman" w:eastAsia="方正仿宋_GB2312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2022-12-21T06:06:00Z</dcterms:created>
  <dc:creator>＊Z＊</dc:creator>
  <cp:lastModifiedBy>＊Z＊</cp:lastModifiedBy>
  <dcterms:modified xsi:type="dcterms:W3CDTF">2022-12-21T06:14:43Z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BBC7563875254F3DAB7C5B63B788B5EC</vt:lpwstr>
  </property>
</Properties>
</file>