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570" w:lineRule="exact"/>
        <w:jc w:val="center"/>
        <w:rPr>
          <w:rFonts w:ascii="仿宋_GB2312" w:hAnsi="方正小标宋简体" w:cs="方正小标宋简体"/>
          <w:bCs/>
          <w:szCs w:val="32"/>
        </w:rPr>
      </w:pPr>
      <w:bookmarkStart w:id="58" w:name="_GoBack"/>
      <w:bookmarkEnd w:id="58"/>
    </w:p>
    <w:p>
      <w:pPr>
        <w:widowControl/>
        <w:spacing w:line="570" w:lineRule="exact"/>
        <w:jc w:val="center"/>
        <w:rPr>
          <w:rFonts w:hint="eastAsia" w:ascii="方正小标宋简体" w:hAnsi="方正小标宋简体" w:eastAsia="方正小标宋简体" w:cs="方正小标宋简体"/>
          <w:bCs/>
          <w:sz w:val="44"/>
          <w:szCs w:val="44"/>
        </w:rPr>
      </w:pP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应急管理部 中国地震局关于印发</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“十四五”国家防震减灾规划的通知</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Cs/>
          <w:sz w:val="44"/>
          <w:szCs w:val="44"/>
        </w:rPr>
      </w:pPr>
      <w:r>
        <w:rPr>
          <w:rFonts w:hint="eastAsia" w:ascii="仿宋_GB2312" w:hAnsi="方正小标宋简体" w:cs="方正小标宋简体"/>
          <w:bCs/>
          <w:szCs w:val="32"/>
        </w:rPr>
        <w:t>应急〔</w:t>
      </w:r>
      <w:r>
        <w:rPr>
          <w:rFonts w:hint="eastAsia" w:asciiTheme="minorEastAsia" w:hAnsiTheme="minorEastAsia" w:eastAsiaTheme="minorEastAsia" w:cstheme="minorEastAsia"/>
          <w:bCs/>
          <w:szCs w:val="32"/>
        </w:rPr>
        <w:t>2022</w:t>
      </w:r>
      <w:r>
        <w:rPr>
          <w:rFonts w:hint="eastAsia" w:ascii="仿宋_GB2312" w:hAnsi="方正小标宋简体" w:cs="方正小标宋简体"/>
          <w:bCs/>
          <w:szCs w:val="32"/>
        </w:rPr>
        <w:t>〕</w:t>
      </w:r>
      <w:r>
        <w:rPr>
          <w:rFonts w:ascii="仿宋_GB2312" w:hAnsi="方正小标宋简体" w:cs="方正小标宋简体"/>
          <w:bCs/>
          <w:szCs w:val="32"/>
        </w:rPr>
        <w:t>30</w:t>
      </w:r>
      <w:r>
        <w:rPr>
          <w:rFonts w:hint="eastAsia" w:ascii="仿宋_GB2312" w:hAnsi="方正小标宋简体" w:cs="方正小标宋简体"/>
          <w:bCs/>
          <w:szCs w:val="32"/>
        </w:rPr>
        <w:t>号</w:t>
      </w:r>
    </w:p>
    <w:p>
      <w:pPr>
        <w:widowControl/>
        <w:spacing w:line="570" w:lineRule="exact"/>
        <w:rPr>
          <w:rFonts w:ascii="方正小标宋简体" w:hAnsi="方正小标宋简体" w:eastAsia="方正小标宋简体" w:cs="方正小标宋简体"/>
          <w:bCs/>
          <w:szCs w:val="32"/>
        </w:rPr>
      </w:pPr>
    </w:p>
    <w:p>
      <w:pPr>
        <w:widowControl/>
        <w:spacing w:line="570" w:lineRule="exact"/>
        <w:rPr>
          <w:rFonts w:ascii="仿宋_GB2312" w:hAnsi="方正小标宋简体" w:cs="方正小标宋简体"/>
          <w:bCs/>
          <w:szCs w:val="32"/>
        </w:rPr>
      </w:pPr>
      <w:r>
        <w:rPr>
          <w:rFonts w:hint="eastAsia" w:ascii="仿宋_GB2312" w:hAnsi="方正小标宋简体" w:cs="方正小标宋简体"/>
          <w:bCs/>
          <w:szCs w:val="32"/>
        </w:rPr>
        <w:t>国家矿山安监局，消防救援局、森林消防局，各省、自治区、直辖市应急管理厅（局）、地震局，新疆生产建设兵团应急管理局，应急管理部机关各司局，国家安全生产应急救援中心，应急管理部所属事业单位，中国地震局机关各司室、所属事业单位：</w:t>
      </w:r>
    </w:p>
    <w:p>
      <w:pPr>
        <w:widowControl/>
        <w:spacing w:line="570" w:lineRule="exact"/>
        <w:ind w:firstLine="600"/>
        <w:rPr>
          <w:rFonts w:hint="eastAsia" w:ascii="仿宋_GB2312" w:hAnsi="方正小标宋简体" w:cs="方正小标宋简体"/>
          <w:bCs/>
          <w:szCs w:val="32"/>
        </w:rPr>
      </w:pPr>
      <w:r>
        <w:rPr>
          <w:rFonts w:hint="eastAsia" w:ascii="仿宋_GB2312" w:hAnsi="方正小标宋简体" w:cs="方正小标宋简体"/>
          <w:bCs/>
          <w:szCs w:val="32"/>
        </w:rPr>
        <w:t>现将《“十四五”国家防震减灾规划》印发给你们，请结合实际，认真贯彻执行。</w:t>
      </w:r>
    </w:p>
    <w:p>
      <w:pPr>
        <w:widowControl/>
        <w:spacing w:line="570" w:lineRule="exact"/>
        <w:ind w:firstLine="600"/>
        <w:rPr>
          <w:rFonts w:hint="eastAsia" w:ascii="仿宋_GB2312" w:hAnsi="方正小标宋简体" w:cs="方正小标宋简体"/>
          <w:bCs/>
          <w:szCs w:val="32"/>
        </w:rPr>
      </w:pPr>
    </w:p>
    <w:p>
      <w:pPr>
        <w:widowControl/>
        <w:spacing w:line="570" w:lineRule="exact"/>
        <w:ind w:firstLine="4367" w:firstLineChars="1391"/>
        <w:rPr>
          <w:rFonts w:ascii="仿宋_GB2312" w:hAnsi="方正小标宋简体" w:cs="方正小标宋简体"/>
          <w:bCs/>
          <w:szCs w:val="32"/>
        </w:rPr>
      </w:pPr>
    </w:p>
    <w:p>
      <w:pPr>
        <w:widowControl/>
        <w:spacing w:line="570" w:lineRule="exact"/>
        <w:ind w:firstLine="4367" w:firstLineChars="1391"/>
        <w:jc w:val="right"/>
        <w:rPr>
          <w:rFonts w:ascii="仿宋_GB2312" w:hAnsi="方正小标宋简体" w:cs="方正小标宋简体"/>
          <w:bCs/>
          <w:szCs w:val="32"/>
        </w:rPr>
      </w:pPr>
      <w:r>
        <w:rPr>
          <w:rFonts w:hint="eastAsia" w:ascii="仿宋_GB2312" w:hAnsi="方正小标宋简体" w:cs="方正小标宋简体"/>
          <w:bCs/>
          <w:szCs w:val="32"/>
        </w:rPr>
        <w:t>应急管理部  中国地震局</w:t>
      </w:r>
    </w:p>
    <w:p>
      <w:pPr>
        <w:widowControl/>
        <w:spacing w:line="570" w:lineRule="exact"/>
        <w:ind w:firstLine="5937" w:firstLineChars="1891"/>
        <w:jc w:val="right"/>
        <w:rPr>
          <w:rFonts w:ascii="仿宋_GB2312" w:hAnsi="方正小标宋简体" w:cs="方正小标宋简体"/>
          <w:bCs/>
          <w:szCs w:val="32"/>
        </w:rPr>
      </w:pPr>
      <w:r>
        <w:rPr>
          <w:rFonts w:hint="eastAsia" w:ascii="宋体" w:hAnsi="宋体" w:eastAsia="宋体" w:cs="宋体"/>
          <w:bCs/>
          <w:szCs w:val="32"/>
        </w:rPr>
        <w:t>2022</w:t>
      </w:r>
      <w:r>
        <w:rPr>
          <w:rFonts w:ascii="仿宋_GB2312" w:hAnsi="方正小标宋简体" w:cs="方正小标宋简体"/>
          <w:bCs/>
          <w:szCs w:val="32"/>
        </w:rPr>
        <w:t>年</w:t>
      </w:r>
      <w:r>
        <w:rPr>
          <w:rFonts w:ascii="宋体" w:hAnsi="宋体" w:eastAsia="宋体" w:cs="宋体"/>
          <w:bCs/>
          <w:szCs w:val="32"/>
        </w:rPr>
        <w:t>4</w:t>
      </w:r>
      <w:r>
        <w:rPr>
          <w:rFonts w:ascii="仿宋_GB2312" w:hAnsi="方正小标宋简体" w:cs="方正小标宋简体"/>
          <w:bCs/>
          <w:szCs w:val="32"/>
        </w:rPr>
        <w:t>月7日</w:t>
      </w:r>
    </w:p>
    <w:p>
      <w:pPr>
        <w:widowControl/>
        <w:spacing w:line="560" w:lineRule="exact"/>
        <w:rPr>
          <w:rFonts w:ascii="方正小标宋简体" w:eastAsia="方正小标宋简体"/>
          <w:sz w:val="44"/>
        </w:rPr>
      </w:pPr>
    </w:p>
    <w:p>
      <w:pPr>
        <w:widowControl/>
        <w:spacing w:line="560" w:lineRule="exact"/>
        <w:jc w:val="center"/>
        <w:rPr>
          <w:rFonts w:ascii="方正小标宋简体" w:eastAsia="方正小标宋简体"/>
          <w:sz w:val="44"/>
        </w:rPr>
      </w:pPr>
    </w:p>
    <w:p>
      <w:pPr>
        <w:widowControl/>
        <w:spacing w:line="560" w:lineRule="exact"/>
        <w:jc w:val="center"/>
        <w:rPr>
          <w:rFonts w:ascii="方正小标宋简体" w:eastAsia="方正小标宋简体"/>
          <w:sz w:val="44"/>
        </w:rPr>
      </w:pPr>
    </w:p>
    <w:p>
      <w:pPr>
        <w:widowControl/>
        <w:spacing w:line="560" w:lineRule="exact"/>
        <w:jc w:val="center"/>
        <w:rPr>
          <w:rFonts w:ascii="方正小标宋简体" w:eastAsia="方正小标宋简体"/>
          <w:sz w:val="44"/>
        </w:rPr>
      </w:pPr>
      <w:r>
        <w:rPr>
          <w:rFonts w:hint="eastAsia" w:ascii="方正小标宋简体" w:eastAsia="方正小标宋简体"/>
          <w:sz w:val="44"/>
        </w:rPr>
        <w:t>“十四五”国家防震减灾规划</w:t>
      </w:r>
    </w:p>
    <w:p>
      <w:pPr>
        <w:spacing w:line="560" w:lineRule="exact"/>
        <w:rPr>
          <w:rFonts w:ascii="仿宋_GB2312"/>
        </w:rPr>
      </w:pPr>
    </w:p>
    <w:p>
      <w:pPr>
        <w:spacing w:line="570" w:lineRule="exact"/>
        <w:ind w:firstLine="628" w:firstLineChars="200"/>
        <w:rPr>
          <w:rFonts w:ascii="仿宋_GB2312"/>
        </w:rPr>
      </w:pPr>
      <w:r>
        <w:rPr>
          <w:rFonts w:hint="eastAsia" w:ascii="仿宋_GB2312"/>
        </w:rPr>
        <w:t>防震减灾是防灾减灾救灾的重要内容，也是应急管理体系的重要组成部分，事关人民群众生命财产安全，事关社会和谐稳定。为深入贯彻落实习近平总书记关于防灾减灾救灾重要论述和防震减灾重要指示批示精神，加快推进防震减灾事业高质量发展，根据《中华人民共和国防震减灾法》《中华人民共和国国民经济和社会发展第十四个五年规划和</w:t>
      </w:r>
      <w:r>
        <w:rPr>
          <w:rFonts w:hint="eastAsia" w:ascii="宋体" w:hAnsi="宋体" w:eastAsia="宋体"/>
          <w:szCs w:val="32"/>
        </w:rPr>
        <w:t>2035</w:t>
      </w:r>
      <w:r>
        <w:rPr>
          <w:rFonts w:hint="eastAsia" w:ascii="仿宋_GB2312"/>
        </w:rPr>
        <w:t>年远景目标纲要》《“十四五”国家应急体系规划》和《新时代防震减灾事业现代化纲要（</w:t>
      </w:r>
      <w:r>
        <w:rPr>
          <w:rFonts w:hint="eastAsia" w:ascii="宋体" w:hAnsi="宋体" w:eastAsia="宋体"/>
          <w:szCs w:val="32"/>
        </w:rPr>
        <w:t>2019—2035</w:t>
      </w:r>
      <w:r>
        <w:rPr>
          <w:rFonts w:hint="eastAsia" w:ascii="仿宋_GB2312"/>
        </w:rPr>
        <w:t>年）》等法律法规和文件，制定本规划。</w:t>
      </w:r>
    </w:p>
    <w:p>
      <w:pPr>
        <w:spacing w:line="570" w:lineRule="exact"/>
        <w:ind w:firstLine="628" w:firstLineChars="200"/>
        <w:outlineLvl w:val="0"/>
        <w:rPr>
          <w:rFonts w:ascii="黑体" w:hAnsi="黑体" w:eastAsia="黑体"/>
        </w:rPr>
      </w:pPr>
      <w:bookmarkStart w:id="0" w:name="_Toc66957153"/>
      <w:r>
        <w:rPr>
          <w:rFonts w:hint="eastAsia" w:ascii="黑体" w:hAnsi="黑体" w:eastAsia="黑体"/>
        </w:rPr>
        <w:t>一</w:t>
      </w:r>
      <w:r>
        <w:rPr>
          <w:rFonts w:ascii="黑体" w:hAnsi="黑体" w:eastAsia="黑体"/>
        </w:rPr>
        <w:t>、</w:t>
      </w:r>
      <w:r>
        <w:rPr>
          <w:rFonts w:hint="eastAsia" w:ascii="黑体" w:hAnsi="黑体" w:eastAsia="黑体"/>
        </w:rPr>
        <w:t>发展环境</w:t>
      </w:r>
      <w:bookmarkEnd w:id="0"/>
    </w:p>
    <w:p>
      <w:pPr>
        <w:spacing w:line="570" w:lineRule="exact"/>
        <w:ind w:firstLine="628" w:firstLineChars="200"/>
        <w:outlineLvl w:val="1"/>
        <w:rPr>
          <w:rFonts w:ascii="楷体_GB2312" w:hAnsi="楷体" w:eastAsia="楷体_GB2312" w:cs="楷体"/>
          <w:bCs/>
          <w:szCs w:val="32"/>
        </w:rPr>
      </w:pPr>
      <w:bookmarkStart w:id="1" w:name="_Toc66957154"/>
      <w:r>
        <w:rPr>
          <w:rFonts w:hint="eastAsia" w:ascii="楷体_GB2312" w:hAnsi="楷体" w:eastAsia="楷体_GB2312" w:cs="楷体"/>
          <w:bCs/>
          <w:szCs w:val="32"/>
        </w:rPr>
        <w:t>（一）</w:t>
      </w:r>
      <w:r>
        <w:rPr>
          <w:rFonts w:ascii="楷体_GB2312" w:hAnsi="楷体" w:eastAsia="楷体_GB2312" w:cs="楷体"/>
          <w:bCs/>
          <w:szCs w:val="32"/>
        </w:rPr>
        <w:t>发展</w:t>
      </w:r>
      <w:r>
        <w:rPr>
          <w:rFonts w:hint="eastAsia" w:ascii="楷体_GB2312" w:hAnsi="楷体" w:eastAsia="楷体_GB2312" w:cs="楷体"/>
          <w:bCs/>
          <w:szCs w:val="32"/>
        </w:rPr>
        <w:t>成就</w:t>
      </w:r>
      <w:bookmarkEnd w:id="1"/>
      <w:r>
        <w:rPr>
          <w:rFonts w:hint="eastAsia" w:ascii="楷体_GB2312" w:hAnsi="楷体" w:eastAsia="楷体_GB2312" w:cs="楷体"/>
          <w:bCs/>
          <w:szCs w:val="32"/>
        </w:rPr>
        <w:t>。</w:t>
      </w:r>
    </w:p>
    <w:p>
      <w:pPr>
        <w:adjustRightInd w:val="0"/>
        <w:snapToGrid w:val="0"/>
        <w:spacing w:line="570" w:lineRule="exact"/>
        <w:ind w:firstLine="628" w:firstLineChars="200"/>
        <w:rPr>
          <w:rFonts w:ascii="仿宋_GB2312" w:hAnsi="仿宋_GB2312" w:cs="仿宋_GB2312"/>
          <w:szCs w:val="32"/>
        </w:rPr>
      </w:pPr>
      <w:r>
        <w:rPr>
          <w:rFonts w:hint="eastAsia" w:ascii="仿宋_GB2312" w:hAnsi="仿宋_GB2312" w:cs="仿宋_GB2312"/>
          <w:bCs/>
          <w:szCs w:val="32"/>
        </w:rPr>
        <w:t>“十三五”时期，在以习近平同志为核心的党中央坚强领导下，防震减灾工作取得了明显成就。地震监测预报预警能力持续增强，</w:t>
      </w:r>
      <w:r>
        <w:rPr>
          <w:rFonts w:hint="eastAsia" w:ascii="仿宋_GB2312" w:hAnsi="仿宋"/>
          <w:szCs w:val="32"/>
        </w:rPr>
        <w:t>全国大部分地区地震监测能力达到</w:t>
      </w:r>
      <w:r>
        <w:rPr>
          <w:rFonts w:ascii="宋体" w:hAnsi="宋体" w:eastAsia="宋体"/>
          <w:szCs w:val="32"/>
        </w:rPr>
        <w:t>2.5</w:t>
      </w:r>
      <w:r>
        <w:rPr>
          <w:rFonts w:ascii="仿宋_GB2312" w:hAnsi="仿宋"/>
          <w:szCs w:val="32"/>
        </w:rPr>
        <w:t>级，国内地震实现</w:t>
      </w:r>
      <w:r>
        <w:rPr>
          <w:rFonts w:ascii="宋体" w:hAnsi="宋体" w:eastAsia="宋体"/>
          <w:szCs w:val="32"/>
        </w:rPr>
        <w:t>2</w:t>
      </w:r>
      <w:r>
        <w:rPr>
          <w:rFonts w:ascii="仿宋_GB2312" w:hAnsi="仿宋"/>
          <w:szCs w:val="32"/>
        </w:rPr>
        <w:t>分钟自动速报，部分地区具备地震预警服务能力</w:t>
      </w:r>
      <w:r>
        <w:rPr>
          <w:rFonts w:hint="eastAsia" w:ascii="仿宋_GB2312" w:hAnsi="仿宋_GB2312" w:cs="仿宋_GB2312"/>
          <w:szCs w:val="32"/>
        </w:rPr>
        <w:t>。</w:t>
      </w:r>
      <w:r>
        <w:rPr>
          <w:rFonts w:hint="eastAsia" w:ascii="仿宋_GB2312" w:hAnsi="仿宋"/>
          <w:szCs w:val="32"/>
        </w:rPr>
        <w:t>地震灾害风险防治能力稳步提升，</w:t>
      </w:r>
      <w:r>
        <w:rPr>
          <w:rFonts w:ascii="仿宋_GB2312" w:hAnsi="仿宋"/>
          <w:szCs w:val="32"/>
        </w:rPr>
        <w:t>全面实施</w:t>
      </w:r>
      <w:r>
        <w:rPr>
          <w:rFonts w:hint="eastAsia" w:ascii="仿宋_GB2312" w:hAnsi="仿宋"/>
          <w:szCs w:val="32"/>
        </w:rPr>
        <w:t>第五代全国地震区划图，开展</w:t>
      </w:r>
      <w:r>
        <w:rPr>
          <w:rFonts w:hint="eastAsia" w:ascii="仿宋_GB2312"/>
          <w:szCs w:val="32"/>
        </w:rPr>
        <w:t>全国地震灾害风险调查和重点隐患排查</w:t>
      </w:r>
      <w:r>
        <w:rPr>
          <w:rFonts w:hint="eastAsia" w:ascii="仿宋_GB2312" w:hAnsi="仿宋"/>
          <w:szCs w:val="32"/>
        </w:rPr>
        <w:t>，推动地震易发区房屋设施加固工作，农村民居地震安全工程惠及数千万</w:t>
      </w:r>
      <w:bookmarkStart w:id="2" w:name="_Hlk36108526"/>
      <w:r>
        <w:rPr>
          <w:rFonts w:hint="eastAsia" w:ascii="仿宋_GB2312" w:hAnsi="仿宋"/>
          <w:szCs w:val="32"/>
        </w:rPr>
        <w:t>农村村民。</w:t>
      </w:r>
      <w:bookmarkEnd w:id="2"/>
      <w:r>
        <w:rPr>
          <w:rFonts w:hint="eastAsia" w:ascii="仿宋_GB2312" w:hAnsi="仿宋_GB2312" w:cs="仿宋_GB2312"/>
          <w:szCs w:val="32"/>
        </w:rPr>
        <w:t>地震应急救援实现重大变革，有效应对四川九寨沟</w:t>
      </w:r>
      <w:r>
        <w:rPr>
          <w:rFonts w:ascii="宋体" w:hAnsi="宋体" w:eastAsia="宋体"/>
          <w:szCs w:val="32"/>
        </w:rPr>
        <w:t>7.0</w:t>
      </w:r>
      <w:r>
        <w:rPr>
          <w:rFonts w:ascii="仿宋_GB2312" w:hAnsi="仿宋_GB2312" w:cs="仿宋_GB2312"/>
          <w:szCs w:val="32"/>
        </w:rPr>
        <w:t>级、四川长宁</w:t>
      </w:r>
      <w:r>
        <w:rPr>
          <w:rFonts w:ascii="宋体" w:hAnsi="宋体" w:eastAsia="宋体"/>
          <w:szCs w:val="32"/>
        </w:rPr>
        <w:t>6.0</w:t>
      </w:r>
      <w:r>
        <w:rPr>
          <w:rFonts w:ascii="仿宋_GB2312" w:hAnsi="仿宋_GB2312" w:cs="仿宋_GB2312"/>
          <w:szCs w:val="32"/>
        </w:rPr>
        <w:t>级等强震。</w:t>
      </w:r>
      <w:r>
        <w:rPr>
          <w:rFonts w:hint="eastAsia" w:ascii="仿宋_GB2312" w:hAnsi="仿宋"/>
          <w:szCs w:val="32"/>
        </w:rPr>
        <w:t>防震减灾公共服务扎实推进，完成重大工程地震安全性评价</w:t>
      </w:r>
      <w:r>
        <w:rPr>
          <w:rFonts w:ascii="宋体" w:hAnsi="宋体" w:eastAsia="宋体"/>
          <w:szCs w:val="32"/>
        </w:rPr>
        <w:t>900</w:t>
      </w:r>
      <w:r>
        <w:rPr>
          <w:rFonts w:ascii="仿宋_GB2312" w:hAnsi="仿宋"/>
          <w:szCs w:val="32"/>
        </w:rPr>
        <w:t>余项，</w:t>
      </w:r>
      <w:r>
        <w:rPr>
          <w:rFonts w:hint="eastAsia" w:ascii="仿宋_GB2312" w:hAnsi="仿宋"/>
          <w:szCs w:val="32"/>
        </w:rPr>
        <w:t>减隔震技术应用于北京大兴国际机场等</w:t>
      </w:r>
      <w:r>
        <w:rPr>
          <w:rFonts w:ascii="宋体" w:hAnsi="宋体" w:eastAsia="宋体"/>
          <w:szCs w:val="32"/>
        </w:rPr>
        <w:t>1300</w:t>
      </w:r>
      <w:r>
        <w:rPr>
          <w:rFonts w:hint="eastAsia" w:ascii="仿宋_GB2312" w:hAnsi="仿宋"/>
          <w:szCs w:val="32"/>
        </w:rPr>
        <w:t>余项建设工程。地震科技创新不断拓展，高铁核电</w:t>
      </w:r>
      <w:r>
        <w:rPr>
          <w:rFonts w:hint="eastAsia" w:ascii="仿宋_GB2312" w:hAnsi="仿宋_GB2312" w:cs="仿宋_GB2312"/>
          <w:szCs w:val="32"/>
        </w:rPr>
        <w:t>地震预警技术研究取得新突破，成功发射“张衡一号”电磁监测试验卫星，共建“一带一路”国家地震监测基础设施。</w:t>
      </w:r>
      <w:r>
        <w:rPr>
          <w:rFonts w:hint="eastAsia" w:ascii="仿宋_GB2312" w:hAnsi="仿宋_GB2312" w:cs="仿宋_GB2312"/>
          <w:bCs/>
          <w:szCs w:val="32"/>
        </w:rPr>
        <w:t>防灾减灾救灾体制机制改革深入落实，与“全灾种、大应急”体系相适应的防震减灾治理体系初步形成。</w:t>
      </w:r>
      <w:r>
        <w:rPr>
          <w:rFonts w:hint="eastAsia" w:ascii="仿宋_GB2312" w:hAnsi="仿宋_GB2312" w:cs="仿宋_GB2312"/>
          <w:szCs w:val="32"/>
        </w:rPr>
        <w:t>“十三五”</w:t>
      </w:r>
      <w:r>
        <w:rPr>
          <w:rFonts w:hint="eastAsia" w:ascii="仿宋_GB2312" w:hAnsi="等线"/>
          <w:szCs w:val="32"/>
        </w:rPr>
        <w:t>规划目标任务如期完成，</w:t>
      </w:r>
      <w:r>
        <w:rPr>
          <w:rFonts w:hint="eastAsia" w:ascii="仿宋_GB2312" w:hAnsi="仿宋_GB2312" w:cs="仿宋_GB2312"/>
          <w:szCs w:val="32"/>
        </w:rPr>
        <w:t>地震人员伤亡和直接经济损失明显下降，</w:t>
      </w:r>
      <w:r>
        <w:rPr>
          <w:rFonts w:hint="eastAsia" w:ascii="仿宋_GB2312" w:hAnsi="仿宋_GB2312" w:cs="仿宋_GB2312"/>
          <w:bCs/>
          <w:szCs w:val="32"/>
        </w:rPr>
        <w:t>地震灾害对经济社会影响明显减轻，为保障人民生命财产安全、全面建成小康社会提供了有力地震安全服务。</w:t>
      </w:r>
    </w:p>
    <w:p>
      <w:pPr>
        <w:spacing w:line="570" w:lineRule="exact"/>
        <w:ind w:firstLine="628" w:firstLineChars="200"/>
        <w:outlineLvl w:val="1"/>
        <w:rPr>
          <w:rFonts w:ascii="楷体_GB2312" w:hAnsi="楷体" w:eastAsia="楷体_GB2312" w:cs="楷体"/>
          <w:bCs/>
          <w:szCs w:val="32"/>
        </w:rPr>
      </w:pPr>
      <w:bookmarkStart w:id="3" w:name="_Toc66957155"/>
      <w:r>
        <w:rPr>
          <w:rFonts w:hint="eastAsia" w:ascii="楷体_GB2312" w:hAnsi="楷体" w:eastAsia="楷体_GB2312" w:cs="楷体"/>
          <w:bCs/>
          <w:szCs w:val="32"/>
        </w:rPr>
        <w:t>（二）机遇挑战</w:t>
      </w:r>
      <w:bookmarkEnd w:id="3"/>
      <w:r>
        <w:rPr>
          <w:rFonts w:hint="eastAsia" w:ascii="楷体_GB2312" w:hAnsi="楷体" w:eastAsia="楷体_GB2312" w:cs="楷体"/>
          <w:bCs/>
          <w:szCs w:val="32"/>
        </w:rPr>
        <w:t>。</w:t>
      </w:r>
    </w:p>
    <w:p>
      <w:pPr>
        <w:adjustRightInd w:val="0"/>
        <w:snapToGrid w:val="0"/>
        <w:spacing w:line="570" w:lineRule="exact"/>
        <w:ind w:firstLine="628" w:firstLineChars="200"/>
        <w:rPr>
          <w:rFonts w:ascii="仿宋_GB2312"/>
          <w:szCs w:val="32"/>
        </w:rPr>
      </w:pPr>
      <w:bookmarkStart w:id="4" w:name="_Toc21685761"/>
      <w:r>
        <w:rPr>
          <w:rFonts w:hint="eastAsia" w:ascii="仿宋_GB2312" w:hAnsi="仿宋"/>
          <w:bCs/>
          <w:szCs w:val="32"/>
        </w:rPr>
        <w:t>习近平总书记对防灾减灾救灾和防震减灾作出一系列重要指示批示，</w:t>
      </w:r>
      <w:r>
        <w:rPr>
          <w:rFonts w:ascii="仿宋_GB2312" w:hAnsi="仿宋"/>
          <w:bCs/>
          <w:szCs w:val="32"/>
        </w:rPr>
        <w:t>为防震减灾</w:t>
      </w:r>
      <w:r>
        <w:rPr>
          <w:rFonts w:hint="eastAsia" w:ascii="仿宋_GB2312" w:hAnsi="仿宋"/>
          <w:bCs/>
          <w:szCs w:val="32"/>
        </w:rPr>
        <w:t>提供根本遵循。全面建成小康社会，实现第一个百年奋斗目标为防震减灾事业奠定了坚实基础。人民对包括地震安全在内的日益增长的美好生活需要，</w:t>
      </w:r>
      <w:r>
        <w:rPr>
          <w:rFonts w:hint="eastAsia" w:ascii="仿宋_GB2312"/>
          <w:szCs w:val="32"/>
        </w:rPr>
        <w:t>经济社会高质量发展，</w:t>
      </w:r>
      <w:r>
        <w:rPr>
          <w:rFonts w:hint="eastAsia" w:ascii="仿宋_GB2312" w:hAnsi="仿宋"/>
          <w:bCs/>
          <w:szCs w:val="32"/>
        </w:rPr>
        <w:t>对</w:t>
      </w:r>
      <w:r>
        <w:rPr>
          <w:rFonts w:ascii="仿宋_GB2312" w:hAnsi="仿宋"/>
          <w:bCs/>
          <w:szCs w:val="32"/>
        </w:rPr>
        <w:t>防震减灾</w:t>
      </w:r>
      <w:r>
        <w:rPr>
          <w:rFonts w:hint="eastAsia" w:ascii="仿宋_GB2312" w:hAnsi="仿宋"/>
          <w:bCs/>
          <w:szCs w:val="32"/>
        </w:rPr>
        <w:t>提出新任务。</w:t>
      </w:r>
      <w:r>
        <w:rPr>
          <w:rFonts w:hint="eastAsia" w:ascii="仿宋_GB2312"/>
        </w:rPr>
        <w:t>新兴数字技术赋能地震</w:t>
      </w:r>
      <w:r>
        <w:rPr>
          <w:rFonts w:hint="eastAsia" w:ascii="仿宋_GB2312"/>
          <w:bCs/>
        </w:rPr>
        <w:t>科技创新，为实现现代智慧防震减灾注入新动力。</w:t>
      </w:r>
      <w:r>
        <w:rPr>
          <w:rFonts w:hint="eastAsia" w:ascii="仿宋_GB2312"/>
          <w:szCs w:val="32"/>
        </w:rPr>
        <w:t>融入“全灾种、大应急”体系，丰富对外开放内涵，提升开放合作水平，为防震减灾拓展新空间。</w:t>
      </w:r>
    </w:p>
    <w:p>
      <w:pPr>
        <w:spacing w:line="570" w:lineRule="exact"/>
        <w:ind w:firstLine="628" w:firstLineChars="200"/>
        <w:rPr>
          <w:rFonts w:ascii="仿宋_GB2312" w:hAnsi="仿宋"/>
          <w:bCs/>
          <w:szCs w:val="32"/>
        </w:rPr>
      </w:pPr>
      <w:r>
        <w:rPr>
          <w:rFonts w:hint="eastAsia" w:ascii="仿宋_GB2312" w:hAnsi="仿宋_GB2312" w:cs="仿宋_GB2312"/>
        </w:rPr>
        <w:t>地震多、强度大</w:t>
      </w:r>
      <w:r>
        <w:rPr>
          <w:rFonts w:hint="eastAsia" w:ascii="仿宋_GB2312" w:hAnsi="仿宋_GB2312" w:cs="仿宋_GB2312"/>
          <w:kern w:val="0"/>
          <w:szCs w:val="32"/>
        </w:rPr>
        <w:t>、分布广、灾害重是我国的基本国情</w:t>
      </w:r>
      <w:r>
        <w:rPr>
          <w:rFonts w:hint="eastAsia" w:ascii="仿宋_GB2312" w:hAnsi="仿宋_GB2312" w:cs="仿宋_GB2312"/>
        </w:rPr>
        <w:t>。</w:t>
      </w:r>
      <w:r>
        <w:rPr>
          <w:rFonts w:hint="eastAsia" w:ascii="仿宋_GB2312"/>
          <w:bCs/>
        </w:rPr>
        <w:t>地震监测站网布局需要进一步优化，</w:t>
      </w:r>
      <w:r>
        <w:rPr>
          <w:rFonts w:hint="eastAsia" w:ascii="仿宋_GB2312" w:hAnsi="仿宋_GB2312" w:cs="仿宋_GB2312"/>
        </w:rPr>
        <w:t>地震预报依然是世界性难题，</w:t>
      </w:r>
      <w:r>
        <w:rPr>
          <w:rFonts w:hint="eastAsia" w:ascii="仿宋_GB2312"/>
          <w:bCs/>
        </w:rPr>
        <w:t>地震预警服务刚刚起步，科技创新对事业支撑引领作用不够，</w:t>
      </w:r>
      <w:r>
        <w:rPr>
          <w:rFonts w:hint="eastAsia" w:ascii="仿宋_GB2312" w:hAnsi="仿宋_GB2312" w:cs="仿宋_GB2312"/>
        </w:rPr>
        <w:t>防震减灾宣传教育不够普及，社会力量参与和市场机制尚未得到充分发挥，</w:t>
      </w:r>
      <w:r>
        <w:rPr>
          <w:rFonts w:hint="eastAsia" w:ascii="仿宋_GB2312"/>
          <w:bCs/>
        </w:rPr>
        <w:t>防震减灾事业高质量发展任重道远。</w:t>
      </w:r>
    </w:p>
    <w:p>
      <w:pPr>
        <w:spacing w:line="570" w:lineRule="exact"/>
        <w:ind w:firstLine="628" w:firstLineChars="200"/>
        <w:rPr>
          <w:rFonts w:ascii="仿宋_GB2312" w:hAnsi="方正仿宋_GBK" w:cs="方正仿宋_GBK"/>
          <w:bCs/>
          <w:snapToGrid w:val="0"/>
          <w:kern w:val="0"/>
          <w:szCs w:val="32"/>
        </w:rPr>
      </w:pPr>
      <w:r>
        <w:rPr>
          <w:rFonts w:hint="eastAsia" w:ascii="仿宋_GB2312" w:hAnsi="方正仿宋_GBK" w:cs="方正仿宋_GBK"/>
          <w:bCs/>
          <w:snapToGrid w:val="0"/>
          <w:kern w:val="0"/>
          <w:szCs w:val="32"/>
        </w:rPr>
        <w:t>总体上看，“十四五”时期防震减灾事业发展的机遇与挑战并存，必须深刻认识新发展阶段的新变化新要求，着眼“两个大局”，牢固树立总体国家安全观，落实“两个坚持，三个转变”工作方针，</w:t>
      </w:r>
      <w:r>
        <w:rPr>
          <w:rFonts w:hint="eastAsia" w:ascii="仿宋_GB2312" w:hAnsi="等线"/>
          <w:szCs w:val="32"/>
        </w:rPr>
        <w:t>认识和把握防震减灾事业发展规律，抓住机遇，应对挑战，坚持底线思维，着力防范和化解可能影响我国现代化进程的重大地震灾害风险，推动防震减灾事业高质量发展</w:t>
      </w:r>
      <w:r>
        <w:rPr>
          <w:rFonts w:hint="eastAsia" w:ascii="仿宋_GB2312" w:hAnsi="方正仿宋_GBK" w:cs="方正仿宋_GBK"/>
          <w:bCs/>
          <w:snapToGrid w:val="0"/>
          <w:kern w:val="0"/>
          <w:szCs w:val="32"/>
        </w:rPr>
        <w:t>。</w:t>
      </w:r>
    </w:p>
    <w:bookmarkEnd w:id="4"/>
    <w:p>
      <w:pPr>
        <w:spacing w:line="570" w:lineRule="exact"/>
        <w:ind w:firstLine="628" w:firstLineChars="200"/>
        <w:outlineLvl w:val="0"/>
        <w:rPr>
          <w:rFonts w:ascii="黑体" w:hAnsi="黑体" w:eastAsia="黑体"/>
        </w:rPr>
      </w:pPr>
      <w:bookmarkStart w:id="5" w:name="_Toc66957156"/>
      <w:r>
        <w:rPr>
          <w:rFonts w:hint="eastAsia" w:ascii="黑体" w:hAnsi="黑体" w:eastAsia="黑体"/>
        </w:rPr>
        <w:t>二</w:t>
      </w:r>
      <w:r>
        <w:rPr>
          <w:rFonts w:ascii="黑体" w:hAnsi="黑体" w:eastAsia="黑体"/>
        </w:rPr>
        <w:t>、</w:t>
      </w:r>
      <w:r>
        <w:rPr>
          <w:rFonts w:hint="eastAsia" w:ascii="黑体" w:hAnsi="黑体" w:eastAsia="黑体"/>
        </w:rPr>
        <w:t>总体要求</w:t>
      </w:r>
      <w:bookmarkEnd w:id="5"/>
    </w:p>
    <w:p>
      <w:pPr>
        <w:spacing w:line="570" w:lineRule="exact"/>
        <w:ind w:firstLine="628" w:firstLineChars="200"/>
        <w:outlineLvl w:val="1"/>
        <w:rPr>
          <w:rFonts w:ascii="楷体_GB2312" w:hAnsi="楷体" w:eastAsia="楷体_GB2312" w:cs="楷体"/>
          <w:bCs/>
          <w:szCs w:val="32"/>
        </w:rPr>
      </w:pPr>
      <w:bookmarkStart w:id="6" w:name="_Toc66957157"/>
      <w:r>
        <w:rPr>
          <w:rFonts w:hint="eastAsia" w:ascii="楷体_GB2312" w:hAnsi="楷体" w:eastAsia="楷体_GB2312" w:cs="楷体"/>
          <w:bCs/>
          <w:szCs w:val="32"/>
        </w:rPr>
        <w:t>（一）指导思想</w:t>
      </w:r>
      <w:bookmarkEnd w:id="6"/>
      <w:r>
        <w:rPr>
          <w:rFonts w:hint="eastAsia" w:ascii="楷体_GB2312" w:hAnsi="楷体" w:eastAsia="楷体_GB2312" w:cs="楷体"/>
          <w:bCs/>
          <w:szCs w:val="32"/>
        </w:rPr>
        <w:t>。</w:t>
      </w:r>
    </w:p>
    <w:p>
      <w:pPr>
        <w:spacing w:line="570" w:lineRule="exact"/>
        <w:ind w:firstLine="628" w:firstLineChars="200"/>
        <w:rPr>
          <w:rFonts w:ascii="仿宋_GB2312"/>
          <w:szCs w:val="32"/>
        </w:rPr>
      </w:pPr>
      <w:bookmarkStart w:id="7" w:name="_Hlk99788861"/>
      <w:r>
        <w:rPr>
          <w:rFonts w:hint="eastAsia" w:ascii="仿宋_GB2312"/>
          <w:szCs w:val="32"/>
        </w:rPr>
        <w:t>以习近平新时代中国特色社会主义思想为指导，全面贯彻党的十九大和十九届历次全会精神，</w:t>
      </w:r>
      <w:bookmarkEnd w:id="7"/>
      <w:r>
        <w:rPr>
          <w:rFonts w:hint="eastAsia" w:ascii="仿宋_GB2312"/>
          <w:szCs w:val="32"/>
        </w:rPr>
        <w:t>深入落实习近平总书记关于防灾减灾救灾重要论述和防震减灾重要指示批示精神，深刻认识“两个确立”的决定性意义，增强“四个意识”、坚定“四个自信”、做到“两个维护”，</w:t>
      </w:r>
      <w:r>
        <w:t>紧紧围绕统筹推进</w:t>
      </w:r>
      <w:r>
        <w:rPr>
          <w:rFonts w:hint="eastAsia" w:ascii="仿宋_GB2312"/>
        </w:rPr>
        <w:t>“五位一体”总体布局和协调推进“四个全面”战</w:t>
      </w:r>
      <w:r>
        <w:t>略布局</w:t>
      </w:r>
      <w:r>
        <w:rPr>
          <w:rFonts w:hint="eastAsia"/>
        </w:rPr>
        <w:t>，</w:t>
      </w:r>
      <w:r>
        <w:rPr>
          <w:rFonts w:hint="eastAsia" w:ascii="仿宋_GB2312"/>
          <w:kern w:val="0"/>
          <w:szCs w:val="32"/>
        </w:rPr>
        <w:t>立足</w:t>
      </w:r>
      <w:r>
        <w:rPr>
          <w:rFonts w:hint="eastAsia" w:ascii="仿宋_GB2312"/>
          <w:szCs w:val="32"/>
        </w:rPr>
        <w:t>新发展阶段，完整、准确、全面贯彻新发展理念，服务和融入新发展格局，</w:t>
      </w:r>
      <w:r>
        <w:rPr>
          <w:rFonts w:hint="eastAsia" w:ascii="仿宋_GB2312"/>
          <w:kern w:val="0"/>
          <w:szCs w:val="32"/>
        </w:rPr>
        <w:t>坚持人民至上、生命至上，坚持总体国家安全观，更好</w:t>
      </w:r>
      <w:r>
        <w:rPr>
          <w:rFonts w:hint="eastAsia" w:ascii="仿宋_GB2312"/>
          <w:szCs w:val="32"/>
        </w:rPr>
        <w:t>统筹发展和安全，坚持以防为主、防抗救相结合，坚持常态减灾和非常态救灾相统一，健全完善体制机制，推动防震减灾事业高质量发展，进一步夯实监测基础、加强预报预警，摸清风险底数、强化抗震设防，保障应急响应、加强公共服务，创新地震科技、推进现代化建设，为全面建设社会主义现代化国家提供地震安全保障。</w:t>
      </w:r>
    </w:p>
    <w:p>
      <w:pPr>
        <w:spacing w:line="570" w:lineRule="exact"/>
        <w:ind w:firstLine="628" w:firstLineChars="200"/>
        <w:outlineLvl w:val="1"/>
        <w:rPr>
          <w:rFonts w:ascii="楷体_GB2312" w:hAnsi="楷体" w:eastAsia="楷体_GB2312" w:cs="楷体"/>
          <w:b/>
          <w:bCs/>
          <w:szCs w:val="32"/>
        </w:rPr>
      </w:pPr>
      <w:bookmarkStart w:id="8" w:name="_Toc66957158"/>
      <w:r>
        <w:rPr>
          <w:rFonts w:hint="eastAsia" w:ascii="楷体_GB2312" w:hAnsi="楷体" w:eastAsia="楷体_GB2312" w:cs="楷体"/>
          <w:bCs/>
          <w:szCs w:val="32"/>
        </w:rPr>
        <w:t>（二）基本原则</w:t>
      </w:r>
      <w:bookmarkEnd w:id="8"/>
      <w:r>
        <w:rPr>
          <w:rFonts w:hint="eastAsia" w:ascii="楷体_GB2312" w:hAnsi="楷体" w:eastAsia="楷体_GB2312" w:cs="楷体"/>
          <w:bCs/>
          <w:szCs w:val="32"/>
        </w:rPr>
        <w:t>。</w:t>
      </w:r>
    </w:p>
    <w:p>
      <w:pPr>
        <w:spacing w:line="570" w:lineRule="exact"/>
        <w:ind w:firstLine="614" w:firstLineChars="196"/>
        <w:rPr>
          <w:rFonts w:ascii="仿宋_GB2312" w:hAnsi="等线"/>
          <w:szCs w:val="32"/>
        </w:rPr>
      </w:pPr>
      <w:r>
        <w:rPr>
          <w:rFonts w:hint="eastAsia" w:ascii="仿宋_GB2312"/>
          <w:b/>
          <w:bCs/>
          <w:kern w:val="0"/>
          <w:szCs w:val="32"/>
        </w:rPr>
        <w:t>坚持党的全面领导，坚决做到“两个维护”。</w:t>
      </w:r>
      <w:r>
        <w:rPr>
          <w:rFonts w:hint="eastAsia"/>
        </w:rPr>
        <w:t>加强党对防震减灾工作的全面领导</w:t>
      </w:r>
      <w:r>
        <w:rPr>
          <w:rFonts w:hint="eastAsia" w:ascii="仿宋_GB2312" w:hAnsi="等线" w:cs="仿宋_GB2312"/>
          <w:spacing w:val="0"/>
          <w:kern w:val="0"/>
          <w:szCs w:val="32"/>
        </w:rPr>
        <w:t>，全面贯彻党的基本理论、基本路线、基本方略，</w:t>
      </w:r>
      <w:r>
        <w:rPr>
          <w:rFonts w:hint="eastAsia" w:ascii="仿宋_GB2312"/>
          <w:kern w:val="0"/>
          <w:szCs w:val="32"/>
        </w:rPr>
        <w:t>把党的政治优势、组织优势和制度优势转化为防震减灾事业发展的坚强保障，</w:t>
      </w:r>
      <w:r>
        <w:rPr>
          <w:rFonts w:hint="eastAsia" w:ascii="仿宋_GB2312" w:hAnsi="等线"/>
          <w:szCs w:val="32"/>
        </w:rPr>
        <w:t>以防震减灾高质量发展成效践行“两个维护”。</w:t>
      </w:r>
    </w:p>
    <w:p>
      <w:pPr>
        <w:spacing w:line="570" w:lineRule="exact"/>
        <w:ind w:firstLine="628" w:firstLineChars="200"/>
        <w:rPr>
          <w:rFonts w:ascii="仿宋_GB2312"/>
          <w:kern w:val="0"/>
          <w:szCs w:val="32"/>
        </w:rPr>
      </w:pPr>
      <w:r>
        <w:rPr>
          <w:rFonts w:hint="eastAsia" w:ascii="仿宋_GB2312"/>
          <w:b/>
          <w:bCs/>
          <w:kern w:val="0"/>
          <w:szCs w:val="32"/>
        </w:rPr>
        <w:t>坚持以人民为中心，服务高质量发展</w:t>
      </w:r>
      <w:r>
        <w:rPr>
          <w:rFonts w:hint="eastAsia" w:ascii="仿宋_GB2312"/>
          <w:b/>
          <w:kern w:val="0"/>
          <w:szCs w:val="32"/>
        </w:rPr>
        <w:t>。</w:t>
      </w:r>
      <w:r>
        <w:rPr>
          <w:rFonts w:hint="eastAsia" w:ascii="仿宋_GB2312"/>
          <w:szCs w:val="32"/>
        </w:rPr>
        <w:t>坚持人民至上、生命至上，始终</w:t>
      </w:r>
      <w:r>
        <w:rPr>
          <w:rFonts w:hint="eastAsia" w:ascii="仿宋_GB2312"/>
          <w:kern w:val="0"/>
          <w:szCs w:val="32"/>
        </w:rPr>
        <w:t>把保护人民群众生命财产安全放在首位，着力提升防震减灾服务能力，以高水平发展服务经济社会高质量发展，不断增强人民群众的获得感、幸福感、安全感。</w:t>
      </w:r>
    </w:p>
    <w:p>
      <w:pPr>
        <w:spacing w:line="570" w:lineRule="exact"/>
        <w:ind w:firstLine="628" w:firstLineChars="200"/>
        <w:rPr>
          <w:rFonts w:ascii="仿宋_GB2312"/>
          <w:kern w:val="0"/>
          <w:szCs w:val="32"/>
        </w:rPr>
      </w:pPr>
      <w:r>
        <w:rPr>
          <w:rFonts w:hint="eastAsia" w:ascii="仿宋_GB2312"/>
          <w:b/>
          <w:bCs/>
          <w:kern w:val="0"/>
          <w:szCs w:val="32"/>
        </w:rPr>
        <w:t>坚持预防为主，防范重大风险隐患。</w:t>
      </w:r>
      <w:r>
        <w:rPr>
          <w:rFonts w:hint="eastAsia" w:ascii="仿宋_GB2312"/>
          <w:kern w:val="0"/>
          <w:szCs w:val="32"/>
        </w:rPr>
        <w:t>牢固树立地震灾害风险防治理念，科学认识和把握地震灾害规律，坚持底线思维，注重防御重大地震灾害，坚持关口前移，主动防御，最大限度减轻地震灾害风险和损失。</w:t>
      </w:r>
    </w:p>
    <w:p>
      <w:pPr>
        <w:spacing w:line="570" w:lineRule="exact"/>
        <w:ind w:firstLine="628" w:firstLineChars="200"/>
        <w:rPr>
          <w:rFonts w:ascii="仿宋_GB2312" w:hAnsi="等线"/>
          <w:b/>
          <w:szCs w:val="32"/>
        </w:rPr>
      </w:pPr>
      <w:r>
        <w:rPr>
          <w:rFonts w:hint="eastAsia" w:ascii="仿宋_GB2312" w:hAnsi="等线"/>
          <w:b/>
          <w:szCs w:val="32"/>
        </w:rPr>
        <w:t>坚持系统观念，统筹协调。</w:t>
      </w:r>
      <w:r>
        <w:rPr>
          <w:rFonts w:hint="eastAsia" w:ascii="仿宋_GB2312" w:hAnsi="等线"/>
          <w:bCs/>
          <w:szCs w:val="32"/>
        </w:rPr>
        <w:t>提升防震减灾高质量发展的整体性和协同性，推动科技创新、业务建设和公共服务等各环节有效衔接和高效协同。更好发挥中央、地方和各方面积极性，统筹推进资源合理配置和高效利用，推进区域防震减灾协调发展。</w:t>
      </w:r>
    </w:p>
    <w:p>
      <w:pPr>
        <w:spacing w:line="570" w:lineRule="exact"/>
        <w:ind w:firstLine="628" w:firstLineChars="200"/>
        <w:rPr>
          <w:rFonts w:ascii="仿宋_GB2312"/>
          <w:kern w:val="0"/>
          <w:szCs w:val="32"/>
        </w:rPr>
      </w:pPr>
      <w:r>
        <w:rPr>
          <w:rFonts w:hint="eastAsia" w:ascii="仿宋_GB2312" w:hAnsi="等线"/>
          <w:b/>
          <w:szCs w:val="32"/>
        </w:rPr>
        <w:t>坚持改革创新，依法治理。</w:t>
      </w:r>
      <w:r>
        <w:rPr>
          <w:rFonts w:hint="eastAsia" w:ascii="仿宋_GB2312"/>
          <w:kern w:val="0"/>
          <w:szCs w:val="32"/>
        </w:rPr>
        <w:t>加快构建系统完备、科学规范、运行有效的防震减灾体制机制，</w:t>
      </w:r>
      <w:r>
        <w:rPr>
          <w:rFonts w:hint="eastAsia" w:ascii="仿宋_GB2312" w:hAnsi="等线"/>
          <w:bCs/>
          <w:szCs w:val="32"/>
        </w:rPr>
        <w:t>大力推进地震科技创新，</w:t>
      </w:r>
      <w:r>
        <w:rPr>
          <w:rFonts w:hint="eastAsia" w:ascii="仿宋_GB2312"/>
          <w:kern w:val="0"/>
          <w:szCs w:val="32"/>
        </w:rPr>
        <w:t>持续增强事业发展活力和动力。运用法治思维和法治方式，持续完善法律法规和标准体系，全面提高全社会防御地震灾害能力和水平。</w:t>
      </w:r>
    </w:p>
    <w:p>
      <w:pPr>
        <w:spacing w:line="570" w:lineRule="exact"/>
        <w:ind w:firstLine="628" w:firstLineChars="200"/>
        <w:rPr>
          <w:rFonts w:ascii="仿宋_GB2312"/>
          <w:kern w:val="0"/>
          <w:szCs w:val="32"/>
        </w:rPr>
      </w:pPr>
      <w:r>
        <w:rPr>
          <w:rFonts w:hint="eastAsia" w:ascii="仿宋_GB2312" w:hAnsi="等线"/>
          <w:b/>
          <w:szCs w:val="32"/>
        </w:rPr>
        <w:t>坚持开放合作，融合发展。</w:t>
      </w:r>
      <w:r>
        <w:rPr>
          <w:rFonts w:hint="eastAsia" w:ascii="仿宋_GB2312" w:hAnsi="等线"/>
          <w:szCs w:val="32"/>
        </w:rPr>
        <w:t>坚持</w:t>
      </w:r>
      <w:r>
        <w:rPr>
          <w:rFonts w:hint="eastAsia" w:ascii="仿宋_GB2312"/>
          <w:kern w:val="0"/>
          <w:szCs w:val="32"/>
        </w:rPr>
        <w:t>防震减灾工作与经济社会融合发展，动员全社会力量积极参与防震减灾工作，完善风险防控机制，不断推进新时代防震减灾事业现代化。积极开展全方位、宽领域、多层次的国际交流合作，着力在构建人类命运共同体的实践中展现新作为。</w:t>
      </w:r>
    </w:p>
    <w:p>
      <w:pPr>
        <w:spacing w:line="570" w:lineRule="exact"/>
        <w:ind w:firstLine="628" w:firstLineChars="200"/>
        <w:outlineLvl w:val="1"/>
        <w:rPr>
          <w:rFonts w:ascii="楷体_GB2312" w:hAnsi="楷体" w:eastAsia="楷体_GB2312" w:cs="楷体"/>
          <w:bCs/>
          <w:szCs w:val="32"/>
        </w:rPr>
      </w:pPr>
      <w:bookmarkStart w:id="9" w:name="_Toc66957159"/>
      <w:r>
        <w:rPr>
          <w:rFonts w:hint="eastAsia" w:ascii="楷体_GB2312" w:hAnsi="楷体" w:eastAsia="楷体_GB2312" w:cs="楷体"/>
          <w:bCs/>
          <w:szCs w:val="32"/>
        </w:rPr>
        <w:t>（三）主要目标</w:t>
      </w:r>
      <w:bookmarkEnd w:id="9"/>
      <w:r>
        <w:rPr>
          <w:rFonts w:hint="eastAsia" w:ascii="楷体_GB2312" w:hAnsi="楷体" w:eastAsia="楷体_GB2312" w:cs="楷体"/>
          <w:bCs/>
          <w:szCs w:val="32"/>
        </w:rPr>
        <w:t>。</w:t>
      </w:r>
    </w:p>
    <w:p>
      <w:pPr>
        <w:spacing w:line="570" w:lineRule="exact"/>
        <w:ind w:firstLine="628" w:firstLineChars="200"/>
        <w:rPr>
          <w:rFonts w:ascii="仿宋_GB2312"/>
          <w:kern w:val="0"/>
          <w:szCs w:val="32"/>
        </w:rPr>
      </w:pPr>
      <w:r>
        <w:rPr>
          <w:rFonts w:hint="eastAsia" w:ascii="仿宋_GB2312"/>
          <w:kern w:val="0"/>
          <w:szCs w:val="32"/>
        </w:rPr>
        <w:t>到</w:t>
      </w:r>
      <w:r>
        <w:rPr>
          <w:rFonts w:hint="eastAsia" w:ascii="宋体" w:hAnsi="宋体" w:eastAsia="宋体"/>
          <w:szCs w:val="32"/>
        </w:rPr>
        <w:t>2025</w:t>
      </w:r>
      <w:r>
        <w:rPr>
          <w:rFonts w:hint="eastAsia" w:ascii="仿宋_GB2312"/>
          <w:kern w:val="0"/>
          <w:szCs w:val="32"/>
        </w:rPr>
        <w:t>年，初步形成防震减灾事业现代化体系，体制机制逐步完善，地震监测预报预警、地震灾害风险防治、地震应急响应服务能力显著提高，地震科技水平进入国际先进行列，地震预报预警取得新突破，地震灾害防御水平明显增强，防震减灾公共服务体系基本建成，社会公众防震减灾素质进一步提高，大震巨灾风险防范能力不断提升，保障国家经济社会发展和人民群众生命财产安全更加有力。到</w:t>
      </w:r>
      <w:r>
        <w:rPr>
          <w:rFonts w:hint="eastAsia" w:ascii="宋体" w:hAnsi="宋体" w:eastAsia="宋体"/>
          <w:szCs w:val="32"/>
        </w:rPr>
        <w:t>2035</w:t>
      </w:r>
      <w:r>
        <w:rPr>
          <w:rFonts w:hint="eastAsia" w:ascii="仿宋_GB2312"/>
          <w:kern w:val="0"/>
          <w:szCs w:val="32"/>
        </w:rPr>
        <w:t>年，基本实现防震减灾事业现代化，基本建成具有中国特色的防震减灾事业现代化体系，关键领域核心技术实现重点突破，基本实现防治精细、监测智能、服务高效、科技先进、管理科学的现代智慧防震减灾。</w:t>
      </w:r>
    </w:p>
    <w:p>
      <w:pPr>
        <w:spacing w:line="570" w:lineRule="exact"/>
        <w:ind w:firstLine="628" w:firstLineChars="200"/>
        <w:rPr>
          <w:rFonts w:ascii="仿宋_GB2312"/>
          <w:kern w:val="0"/>
          <w:szCs w:val="32"/>
        </w:rPr>
      </w:pPr>
    </w:p>
    <w:p>
      <w:pPr>
        <w:spacing w:line="570" w:lineRule="exact"/>
        <w:rPr>
          <w:rFonts w:ascii="仿宋_GB2312"/>
          <w:kern w:val="0"/>
          <w:szCs w:val="32"/>
        </w:rPr>
      </w:pPr>
    </w:p>
    <w:tbl>
      <w:tblPr>
        <w:tblStyle w:val="11"/>
        <w:tblpPr w:leftFromText="180" w:rightFromText="180" w:vertAnchor="text" w:horzAnchor="page" w:tblpXSpec="center" w:tblpY="236"/>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2835"/>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8755" w:type="dxa"/>
            <w:gridSpan w:val="4"/>
            <w:vAlign w:val="center"/>
          </w:tcPr>
          <w:p>
            <w:pPr>
              <w:adjustRightInd w:val="0"/>
              <w:snapToGrid w:val="0"/>
              <w:spacing w:line="280" w:lineRule="exact"/>
              <w:jc w:val="center"/>
              <w:rPr>
                <w:rFonts w:ascii="仿宋_GB2312"/>
                <w:b/>
                <w:bCs/>
                <w:kern w:val="0"/>
                <w:sz w:val="28"/>
                <w:szCs w:val="24"/>
              </w:rPr>
            </w:pPr>
            <w:r>
              <w:rPr>
                <w:rFonts w:ascii="仿宋_GB2312"/>
                <w:kern w:val="0"/>
                <w:szCs w:val="32"/>
              </w:rPr>
              <w:br w:type="page"/>
            </w:r>
            <w:r>
              <w:rPr>
                <w:rFonts w:hint="eastAsia" w:ascii="黑体" w:hAnsi="黑体" w:eastAsia="黑体"/>
                <w:kern w:val="0"/>
                <w:sz w:val="28"/>
                <w:szCs w:val="24"/>
              </w:rPr>
              <w:t xml:space="preserve"> “十四五”时期防震减灾事业发展主要指标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817" w:type="dxa"/>
            <w:vAlign w:val="center"/>
          </w:tcPr>
          <w:p>
            <w:pPr>
              <w:adjustRightInd w:val="0"/>
              <w:snapToGrid w:val="0"/>
              <w:spacing w:line="360" w:lineRule="exact"/>
              <w:jc w:val="center"/>
              <w:rPr>
                <w:rFonts w:ascii="楷体_GB2312" w:eastAsia="楷体_GB2312"/>
                <w:b/>
                <w:bCs/>
                <w:kern w:val="0"/>
                <w:sz w:val="28"/>
                <w:szCs w:val="24"/>
              </w:rPr>
            </w:pPr>
            <w:r>
              <w:rPr>
                <w:rFonts w:hint="eastAsia" w:ascii="楷体_GB2312" w:eastAsia="楷体_GB2312"/>
                <w:b/>
                <w:bCs/>
                <w:kern w:val="0"/>
                <w:sz w:val="28"/>
                <w:szCs w:val="24"/>
              </w:rPr>
              <w:t>类别</w:t>
            </w:r>
          </w:p>
        </w:tc>
        <w:tc>
          <w:tcPr>
            <w:tcW w:w="851" w:type="dxa"/>
            <w:vAlign w:val="center"/>
          </w:tcPr>
          <w:p>
            <w:pPr>
              <w:adjustRightInd w:val="0"/>
              <w:snapToGrid w:val="0"/>
              <w:spacing w:line="360" w:lineRule="exact"/>
              <w:jc w:val="center"/>
              <w:rPr>
                <w:rFonts w:ascii="楷体_GB2312" w:eastAsia="楷体_GB2312"/>
                <w:b/>
                <w:bCs/>
                <w:kern w:val="0"/>
                <w:sz w:val="28"/>
                <w:szCs w:val="24"/>
              </w:rPr>
            </w:pPr>
            <w:r>
              <w:rPr>
                <w:rFonts w:hint="eastAsia" w:ascii="楷体_GB2312" w:eastAsia="楷体_GB2312"/>
                <w:b/>
                <w:bCs/>
                <w:kern w:val="0"/>
                <w:sz w:val="28"/>
                <w:szCs w:val="24"/>
              </w:rPr>
              <w:t>序号</w:t>
            </w:r>
          </w:p>
        </w:tc>
        <w:tc>
          <w:tcPr>
            <w:tcW w:w="2835" w:type="dxa"/>
            <w:vAlign w:val="center"/>
          </w:tcPr>
          <w:p>
            <w:pPr>
              <w:adjustRightInd w:val="0"/>
              <w:snapToGrid w:val="0"/>
              <w:spacing w:line="360" w:lineRule="exact"/>
              <w:jc w:val="center"/>
              <w:rPr>
                <w:rFonts w:ascii="楷体_GB2312" w:eastAsia="楷体_GB2312"/>
                <w:b/>
                <w:bCs/>
                <w:kern w:val="0"/>
                <w:sz w:val="28"/>
                <w:szCs w:val="24"/>
              </w:rPr>
            </w:pPr>
            <w:r>
              <w:rPr>
                <w:rFonts w:hint="eastAsia" w:ascii="楷体_GB2312" w:eastAsia="楷体_GB2312"/>
                <w:b/>
                <w:bCs/>
                <w:kern w:val="0"/>
                <w:sz w:val="28"/>
                <w:szCs w:val="24"/>
              </w:rPr>
              <w:t>指标内容</w:t>
            </w:r>
          </w:p>
        </w:tc>
        <w:tc>
          <w:tcPr>
            <w:tcW w:w="4252" w:type="dxa"/>
            <w:vAlign w:val="center"/>
          </w:tcPr>
          <w:p>
            <w:pPr>
              <w:adjustRightInd w:val="0"/>
              <w:snapToGrid w:val="0"/>
              <w:spacing w:line="360" w:lineRule="exact"/>
              <w:jc w:val="center"/>
              <w:rPr>
                <w:rFonts w:ascii="楷体_GB2312" w:eastAsia="楷体_GB2312"/>
                <w:b/>
                <w:bCs/>
                <w:kern w:val="0"/>
                <w:sz w:val="28"/>
                <w:szCs w:val="24"/>
              </w:rPr>
            </w:pPr>
            <w:r>
              <w:rPr>
                <w:rFonts w:hint="eastAsia" w:ascii="楷体_GB2312" w:eastAsia="楷体_GB2312"/>
                <w:b/>
                <w:bCs/>
                <w:kern w:val="0"/>
                <w:sz w:val="28"/>
                <w:szCs w:val="24"/>
              </w:rPr>
              <w:t>预期值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17" w:type="dxa"/>
            <w:vMerge w:val="restart"/>
            <w:vAlign w:val="center"/>
          </w:tcPr>
          <w:p>
            <w:pPr>
              <w:adjustRightInd w:val="0"/>
              <w:snapToGrid w:val="0"/>
              <w:spacing w:line="320" w:lineRule="exact"/>
              <w:jc w:val="center"/>
              <w:rPr>
                <w:rFonts w:ascii="仿宋_GB2312"/>
                <w:kern w:val="0"/>
                <w:sz w:val="24"/>
                <w:szCs w:val="24"/>
              </w:rPr>
            </w:pPr>
            <w:r>
              <w:rPr>
                <w:rFonts w:hint="eastAsia" w:ascii="仿宋_GB2312"/>
                <w:kern w:val="0"/>
                <w:sz w:val="24"/>
                <w:szCs w:val="24"/>
              </w:rPr>
              <w:t>地震</w:t>
            </w:r>
          </w:p>
          <w:p>
            <w:pPr>
              <w:adjustRightInd w:val="0"/>
              <w:snapToGrid w:val="0"/>
              <w:spacing w:line="320" w:lineRule="exact"/>
              <w:jc w:val="center"/>
              <w:rPr>
                <w:rFonts w:ascii="仿宋_GB2312"/>
                <w:kern w:val="0"/>
                <w:sz w:val="24"/>
                <w:szCs w:val="24"/>
              </w:rPr>
            </w:pPr>
            <w:r>
              <w:rPr>
                <w:rFonts w:hint="eastAsia" w:ascii="仿宋_GB2312"/>
                <w:kern w:val="0"/>
                <w:sz w:val="24"/>
                <w:szCs w:val="24"/>
              </w:rPr>
              <w:t>监测</w:t>
            </w:r>
          </w:p>
          <w:p>
            <w:pPr>
              <w:adjustRightInd w:val="0"/>
              <w:snapToGrid w:val="0"/>
              <w:spacing w:line="320" w:lineRule="exact"/>
              <w:jc w:val="center"/>
              <w:rPr>
                <w:rFonts w:ascii="仿宋_GB2312"/>
                <w:kern w:val="0"/>
                <w:sz w:val="24"/>
                <w:szCs w:val="24"/>
              </w:rPr>
            </w:pPr>
            <w:r>
              <w:rPr>
                <w:rFonts w:hint="eastAsia" w:ascii="仿宋_GB2312"/>
                <w:kern w:val="0"/>
                <w:sz w:val="24"/>
                <w:szCs w:val="24"/>
              </w:rPr>
              <w:t>预报</w:t>
            </w:r>
          </w:p>
          <w:p>
            <w:pPr>
              <w:adjustRightInd w:val="0"/>
              <w:snapToGrid w:val="0"/>
              <w:spacing w:line="320" w:lineRule="exact"/>
              <w:jc w:val="center"/>
              <w:rPr>
                <w:rFonts w:ascii="仿宋_GB2312"/>
                <w:kern w:val="0"/>
                <w:sz w:val="24"/>
                <w:szCs w:val="24"/>
              </w:rPr>
            </w:pPr>
            <w:r>
              <w:rPr>
                <w:rFonts w:hint="eastAsia" w:ascii="仿宋_GB2312"/>
                <w:kern w:val="0"/>
                <w:sz w:val="24"/>
                <w:szCs w:val="24"/>
              </w:rPr>
              <w:t>预警</w:t>
            </w:r>
          </w:p>
          <w:p>
            <w:pPr>
              <w:adjustRightInd w:val="0"/>
              <w:snapToGrid w:val="0"/>
              <w:spacing w:line="320" w:lineRule="exact"/>
              <w:jc w:val="center"/>
              <w:rPr>
                <w:rFonts w:ascii="仿宋_GB2312"/>
                <w:strike/>
                <w:kern w:val="0"/>
                <w:sz w:val="24"/>
                <w:szCs w:val="24"/>
              </w:rPr>
            </w:pPr>
            <w:r>
              <w:rPr>
                <w:rFonts w:hint="eastAsia" w:ascii="仿宋_GB2312"/>
                <w:kern w:val="0"/>
                <w:sz w:val="24"/>
                <w:szCs w:val="24"/>
              </w:rPr>
              <w:t>能力</w:t>
            </w:r>
          </w:p>
        </w:tc>
        <w:tc>
          <w:tcPr>
            <w:tcW w:w="851" w:type="dxa"/>
            <w:vAlign w:val="center"/>
          </w:tcPr>
          <w:p>
            <w:pPr>
              <w:adjustRightInd w:val="0"/>
              <w:snapToGrid w:val="0"/>
              <w:spacing w:line="320" w:lineRule="exact"/>
              <w:jc w:val="center"/>
              <w:rPr>
                <w:rFonts w:ascii="仿宋_GB2312"/>
                <w:kern w:val="0"/>
                <w:sz w:val="24"/>
                <w:szCs w:val="24"/>
              </w:rPr>
            </w:pPr>
            <w:r>
              <w:rPr>
                <w:rFonts w:hint="eastAsia" w:ascii="宋体" w:hAnsi="宋体" w:eastAsia="宋体" w:cs="宋体"/>
                <w:kern w:val="0"/>
                <w:sz w:val="24"/>
                <w:szCs w:val="24"/>
              </w:rPr>
              <w:t>1</w:t>
            </w:r>
          </w:p>
        </w:tc>
        <w:tc>
          <w:tcPr>
            <w:tcW w:w="2835" w:type="dxa"/>
            <w:vAlign w:val="center"/>
          </w:tcPr>
          <w:p>
            <w:pPr>
              <w:adjustRightInd w:val="0"/>
              <w:snapToGrid w:val="0"/>
              <w:spacing w:line="320" w:lineRule="exact"/>
              <w:rPr>
                <w:rFonts w:ascii="仿宋_GB2312"/>
                <w:kern w:val="0"/>
                <w:sz w:val="24"/>
                <w:szCs w:val="24"/>
              </w:rPr>
            </w:pPr>
            <w:r>
              <w:rPr>
                <w:rFonts w:hint="eastAsia" w:ascii="仿宋_GB2312"/>
                <w:kern w:val="0"/>
                <w:sz w:val="24"/>
                <w:szCs w:val="24"/>
              </w:rPr>
              <w:t>地震监测水平</w:t>
            </w:r>
          </w:p>
        </w:tc>
        <w:tc>
          <w:tcPr>
            <w:tcW w:w="4252" w:type="dxa"/>
            <w:vAlign w:val="center"/>
          </w:tcPr>
          <w:p>
            <w:pPr>
              <w:adjustRightInd w:val="0"/>
              <w:snapToGrid w:val="0"/>
              <w:spacing w:line="320" w:lineRule="exact"/>
              <w:rPr>
                <w:rFonts w:ascii="仿宋_GB2312"/>
                <w:kern w:val="0"/>
                <w:sz w:val="24"/>
                <w:szCs w:val="24"/>
              </w:rPr>
            </w:pPr>
            <w:r>
              <w:rPr>
                <w:rFonts w:hint="eastAsia" w:ascii="仿宋_GB2312"/>
                <w:kern w:val="0"/>
                <w:sz w:val="24"/>
                <w:szCs w:val="24"/>
              </w:rPr>
              <w:t>京津冀、长三角、珠三角、成渝等特大城市群地区达到</w:t>
            </w:r>
            <w:r>
              <w:rPr>
                <w:rFonts w:hint="eastAsia" w:ascii="宋体" w:hAnsi="宋体" w:eastAsia="宋体"/>
                <w:sz w:val="24"/>
                <w:szCs w:val="24"/>
              </w:rPr>
              <w:t>1.0</w:t>
            </w:r>
            <w:r>
              <w:rPr>
                <w:rFonts w:hint="eastAsia" w:ascii="仿宋_GB2312"/>
                <w:kern w:val="0"/>
                <w:sz w:val="24"/>
                <w:szCs w:val="24"/>
              </w:rPr>
              <w:t>级；东部人口稠密地区达到</w:t>
            </w:r>
            <w:r>
              <w:rPr>
                <w:rFonts w:hint="eastAsia" w:ascii="宋体" w:hAnsi="宋体" w:eastAsia="宋体"/>
                <w:sz w:val="24"/>
                <w:szCs w:val="24"/>
              </w:rPr>
              <w:t>1.5</w:t>
            </w:r>
            <w:r>
              <w:rPr>
                <w:rFonts w:hint="eastAsia" w:ascii="仿宋_GB2312"/>
                <w:kern w:val="0"/>
                <w:sz w:val="24"/>
                <w:szCs w:val="24"/>
              </w:rPr>
              <w:t>级；西部大部分地区达到</w:t>
            </w:r>
            <w:r>
              <w:rPr>
                <w:rFonts w:hint="eastAsia" w:ascii="宋体" w:hAnsi="宋体" w:eastAsia="宋体"/>
                <w:sz w:val="24"/>
                <w:szCs w:val="24"/>
              </w:rPr>
              <w:t>2.0</w:t>
            </w:r>
            <w:r>
              <w:rPr>
                <w:rFonts w:hint="eastAsia" w:ascii="仿宋_GB2312"/>
                <w:kern w:val="0"/>
                <w:sz w:val="24"/>
                <w:szCs w:val="24"/>
              </w:rPr>
              <w:t>级；近海海域地区达到</w:t>
            </w:r>
            <w:r>
              <w:rPr>
                <w:rFonts w:hint="eastAsia" w:ascii="宋体" w:hAnsi="宋体" w:eastAsia="宋体"/>
                <w:sz w:val="24"/>
                <w:szCs w:val="24"/>
              </w:rPr>
              <w:t>3.0</w:t>
            </w:r>
            <w:r>
              <w:rPr>
                <w:rFonts w:hint="eastAsia" w:ascii="仿宋_GB2312"/>
                <w:kern w:val="0"/>
                <w:sz w:val="24"/>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atLeast"/>
        </w:trPr>
        <w:tc>
          <w:tcPr>
            <w:tcW w:w="817" w:type="dxa"/>
            <w:vMerge w:val="continue"/>
            <w:vAlign w:val="center"/>
          </w:tcPr>
          <w:p>
            <w:pPr>
              <w:adjustRightInd w:val="0"/>
              <w:snapToGrid w:val="0"/>
              <w:spacing w:line="320" w:lineRule="exact"/>
              <w:jc w:val="center"/>
              <w:rPr>
                <w:rFonts w:ascii="仿宋_GB2312"/>
                <w:strike/>
                <w:kern w:val="0"/>
                <w:sz w:val="24"/>
                <w:szCs w:val="24"/>
              </w:rPr>
            </w:pPr>
          </w:p>
        </w:tc>
        <w:tc>
          <w:tcPr>
            <w:tcW w:w="851" w:type="dxa"/>
            <w:vAlign w:val="center"/>
          </w:tcPr>
          <w:p>
            <w:pPr>
              <w:adjustRightInd w:val="0"/>
              <w:snapToGrid w:val="0"/>
              <w:spacing w:line="320" w:lineRule="exact"/>
              <w:jc w:val="center"/>
              <w:rPr>
                <w:rFonts w:ascii="仿宋_GB2312"/>
                <w:kern w:val="0"/>
                <w:sz w:val="24"/>
                <w:szCs w:val="24"/>
              </w:rPr>
            </w:pPr>
            <w:r>
              <w:rPr>
                <w:rFonts w:hint="eastAsia" w:ascii="宋体" w:hAnsi="宋体" w:eastAsia="宋体" w:cs="宋体"/>
                <w:kern w:val="0"/>
                <w:sz w:val="24"/>
                <w:szCs w:val="24"/>
              </w:rPr>
              <w:t>2</w:t>
            </w:r>
          </w:p>
        </w:tc>
        <w:tc>
          <w:tcPr>
            <w:tcW w:w="2835" w:type="dxa"/>
            <w:vAlign w:val="center"/>
          </w:tcPr>
          <w:p>
            <w:pPr>
              <w:adjustRightInd w:val="0"/>
              <w:snapToGrid w:val="0"/>
              <w:spacing w:line="320" w:lineRule="exact"/>
              <w:rPr>
                <w:rFonts w:ascii="仿宋_GB2312"/>
                <w:kern w:val="0"/>
                <w:sz w:val="24"/>
                <w:szCs w:val="24"/>
              </w:rPr>
            </w:pPr>
            <w:r>
              <w:rPr>
                <w:rFonts w:hint="eastAsia" w:ascii="仿宋_GB2312"/>
                <w:kern w:val="0"/>
                <w:sz w:val="24"/>
                <w:szCs w:val="24"/>
              </w:rPr>
              <w:t>地震速报预警水平</w:t>
            </w:r>
          </w:p>
        </w:tc>
        <w:tc>
          <w:tcPr>
            <w:tcW w:w="4252" w:type="dxa"/>
            <w:vAlign w:val="center"/>
          </w:tcPr>
          <w:p>
            <w:pPr>
              <w:adjustRightInd w:val="0"/>
              <w:snapToGrid w:val="0"/>
              <w:spacing w:line="320" w:lineRule="exact"/>
              <w:rPr>
                <w:rFonts w:ascii="仿宋_GB2312"/>
                <w:kern w:val="0"/>
                <w:sz w:val="24"/>
                <w:szCs w:val="24"/>
              </w:rPr>
            </w:pPr>
            <w:r>
              <w:rPr>
                <w:rFonts w:hint="eastAsia" w:ascii="宋体" w:hAnsi="宋体" w:eastAsia="宋体"/>
                <w:sz w:val="24"/>
                <w:szCs w:val="24"/>
              </w:rPr>
              <w:t>1</w:t>
            </w:r>
            <w:r>
              <w:rPr>
                <w:rFonts w:hint="eastAsia" w:ascii="仿宋_GB2312"/>
                <w:kern w:val="0"/>
                <w:sz w:val="24"/>
                <w:szCs w:val="24"/>
              </w:rPr>
              <w:t>分钟左右实现大陆东部</w:t>
            </w:r>
            <w:r>
              <w:rPr>
                <w:rFonts w:hint="eastAsia" w:ascii="宋体" w:hAnsi="宋体" w:eastAsia="宋体"/>
                <w:sz w:val="24"/>
                <w:szCs w:val="24"/>
              </w:rPr>
              <w:t>2.0</w:t>
            </w:r>
            <w:r>
              <w:rPr>
                <w:rFonts w:hint="eastAsia" w:ascii="仿宋_GB2312"/>
                <w:kern w:val="0"/>
                <w:sz w:val="24"/>
                <w:szCs w:val="24"/>
              </w:rPr>
              <w:t>级、西部</w:t>
            </w:r>
            <w:r>
              <w:rPr>
                <w:rFonts w:hint="eastAsia" w:ascii="宋体" w:hAnsi="宋体" w:eastAsia="宋体"/>
                <w:sz w:val="24"/>
                <w:szCs w:val="24"/>
              </w:rPr>
              <w:t>3.0</w:t>
            </w:r>
            <w:r>
              <w:rPr>
                <w:rFonts w:hint="eastAsia" w:ascii="仿宋_GB2312"/>
                <w:kern w:val="0"/>
                <w:sz w:val="24"/>
                <w:szCs w:val="24"/>
              </w:rPr>
              <w:t>级、近海海域</w:t>
            </w:r>
            <w:r>
              <w:rPr>
                <w:rFonts w:hint="eastAsia" w:ascii="宋体" w:hAnsi="宋体" w:eastAsia="宋体"/>
                <w:sz w:val="24"/>
                <w:szCs w:val="24"/>
              </w:rPr>
              <w:t>3.0</w:t>
            </w:r>
            <w:r>
              <w:rPr>
                <w:rFonts w:hint="eastAsia" w:ascii="仿宋_GB2312"/>
                <w:kern w:val="0"/>
                <w:sz w:val="24"/>
                <w:szCs w:val="24"/>
              </w:rPr>
              <w:t>级以上地震基本参数自动速报；</w:t>
            </w:r>
            <w:r>
              <w:rPr>
                <w:rFonts w:hint="eastAsia" w:ascii="宋体" w:hAnsi="宋体" w:eastAsia="宋体"/>
                <w:sz w:val="24"/>
                <w:szCs w:val="24"/>
              </w:rPr>
              <w:t>5</w:t>
            </w:r>
            <w:r>
              <w:rPr>
                <w:rFonts w:hint="eastAsia" w:ascii="仿宋_GB2312"/>
                <w:kern w:val="0"/>
                <w:sz w:val="24"/>
                <w:szCs w:val="24"/>
              </w:rPr>
              <w:t>分钟内完成地震烈度初报，</w:t>
            </w:r>
            <w:r>
              <w:rPr>
                <w:rFonts w:hint="eastAsia" w:ascii="宋体" w:hAnsi="宋体" w:eastAsia="宋体"/>
                <w:sz w:val="24"/>
                <w:szCs w:val="24"/>
              </w:rPr>
              <w:t>10</w:t>
            </w:r>
            <w:r>
              <w:rPr>
                <w:rFonts w:hint="eastAsia" w:ascii="仿宋_GB2312"/>
                <w:kern w:val="0"/>
                <w:sz w:val="24"/>
                <w:szCs w:val="24"/>
              </w:rPr>
              <w:t>分钟内完成地震烈度速报；重点地区灾害性地震发生后</w:t>
            </w:r>
            <w:r>
              <w:rPr>
                <w:rFonts w:ascii="宋体" w:hAnsi="宋体" w:eastAsia="宋体"/>
                <w:sz w:val="24"/>
                <w:szCs w:val="24"/>
              </w:rPr>
              <w:t>10</w:t>
            </w:r>
            <w:r>
              <w:rPr>
                <w:rFonts w:hint="eastAsia" w:ascii="仿宋_GB2312"/>
                <w:kern w:val="0"/>
                <w:sz w:val="24"/>
                <w:szCs w:val="24"/>
              </w:rPr>
              <w:t>秒内发布预警信息，公众覆盖率不低于</w:t>
            </w:r>
            <w:r>
              <w:rPr>
                <w:rFonts w:hint="eastAsia" w:ascii="宋体" w:hAnsi="宋体" w:eastAsia="宋体"/>
                <w:sz w:val="24"/>
                <w:szCs w:val="24"/>
              </w:rPr>
              <w:t>80</w:t>
            </w:r>
            <w:r>
              <w:rPr>
                <w:rFonts w:hint="eastAsia" w:ascii="仿宋_GB2312"/>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17" w:type="dxa"/>
            <w:vMerge w:val="continue"/>
            <w:vAlign w:val="center"/>
          </w:tcPr>
          <w:p>
            <w:pPr>
              <w:adjustRightInd w:val="0"/>
              <w:snapToGrid w:val="0"/>
              <w:spacing w:line="320" w:lineRule="exact"/>
              <w:jc w:val="center"/>
              <w:rPr>
                <w:rFonts w:ascii="仿宋_GB2312"/>
                <w:strike/>
                <w:kern w:val="0"/>
                <w:sz w:val="24"/>
                <w:szCs w:val="24"/>
              </w:rPr>
            </w:pPr>
          </w:p>
        </w:tc>
        <w:tc>
          <w:tcPr>
            <w:tcW w:w="851" w:type="dxa"/>
            <w:vAlign w:val="center"/>
          </w:tcPr>
          <w:p>
            <w:pPr>
              <w:adjustRightInd w:val="0"/>
              <w:snapToGrid w:val="0"/>
              <w:spacing w:line="320" w:lineRule="exact"/>
              <w:jc w:val="center"/>
              <w:rPr>
                <w:rFonts w:ascii="仿宋_GB2312"/>
                <w:kern w:val="0"/>
                <w:sz w:val="24"/>
                <w:szCs w:val="24"/>
              </w:rPr>
            </w:pPr>
            <w:r>
              <w:rPr>
                <w:rFonts w:hint="eastAsia" w:ascii="宋体" w:hAnsi="宋体" w:eastAsia="宋体" w:cs="宋体"/>
                <w:kern w:val="0"/>
                <w:sz w:val="24"/>
                <w:szCs w:val="24"/>
              </w:rPr>
              <w:t>3</w:t>
            </w:r>
          </w:p>
        </w:tc>
        <w:tc>
          <w:tcPr>
            <w:tcW w:w="2835" w:type="dxa"/>
            <w:vAlign w:val="center"/>
          </w:tcPr>
          <w:p>
            <w:pPr>
              <w:adjustRightInd w:val="0"/>
              <w:snapToGrid w:val="0"/>
              <w:spacing w:line="320" w:lineRule="exact"/>
              <w:rPr>
                <w:rFonts w:ascii="仿宋_GB2312"/>
                <w:kern w:val="0"/>
                <w:sz w:val="24"/>
                <w:szCs w:val="24"/>
              </w:rPr>
            </w:pPr>
            <w:r>
              <w:rPr>
                <w:rFonts w:hint="eastAsia" w:ascii="仿宋_GB2312"/>
                <w:kern w:val="0"/>
                <w:sz w:val="24"/>
                <w:szCs w:val="24"/>
              </w:rPr>
              <w:t>地震预报水平</w:t>
            </w:r>
          </w:p>
        </w:tc>
        <w:tc>
          <w:tcPr>
            <w:tcW w:w="4252" w:type="dxa"/>
            <w:vAlign w:val="center"/>
          </w:tcPr>
          <w:p>
            <w:pPr>
              <w:adjustRightInd w:val="0"/>
              <w:snapToGrid w:val="0"/>
              <w:spacing w:line="320" w:lineRule="exact"/>
              <w:rPr>
                <w:rFonts w:ascii="仿宋_GB2312"/>
                <w:kern w:val="0"/>
                <w:sz w:val="24"/>
                <w:szCs w:val="24"/>
              </w:rPr>
            </w:pPr>
            <w:r>
              <w:rPr>
                <w:rFonts w:hint="eastAsia" w:ascii="仿宋_GB2312"/>
                <w:kern w:val="0"/>
                <w:sz w:val="24"/>
                <w:szCs w:val="24"/>
              </w:rPr>
              <w:t>力争作出有减灾实效的地震短临预报。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17" w:type="dxa"/>
            <w:vMerge w:val="restart"/>
            <w:vAlign w:val="center"/>
          </w:tcPr>
          <w:p>
            <w:pPr>
              <w:adjustRightInd w:val="0"/>
              <w:snapToGrid w:val="0"/>
              <w:spacing w:line="320" w:lineRule="exact"/>
              <w:jc w:val="center"/>
              <w:rPr>
                <w:rFonts w:ascii="仿宋_GB2312"/>
                <w:kern w:val="0"/>
                <w:sz w:val="24"/>
                <w:szCs w:val="24"/>
              </w:rPr>
            </w:pPr>
            <w:r>
              <w:rPr>
                <w:rFonts w:hint="eastAsia" w:ascii="仿宋_GB2312"/>
                <w:kern w:val="0"/>
                <w:sz w:val="24"/>
                <w:szCs w:val="24"/>
              </w:rPr>
              <w:t>地震</w:t>
            </w:r>
          </w:p>
          <w:p>
            <w:pPr>
              <w:adjustRightInd w:val="0"/>
              <w:snapToGrid w:val="0"/>
              <w:spacing w:line="320" w:lineRule="exact"/>
              <w:jc w:val="center"/>
              <w:rPr>
                <w:rFonts w:ascii="仿宋_GB2312"/>
                <w:kern w:val="0"/>
                <w:sz w:val="24"/>
                <w:szCs w:val="24"/>
              </w:rPr>
            </w:pPr>
            <w:r>
              <w:rPr>
                <w:rFonts w:hint="eastAsia" w:ascii="仿宋_GB2312"/>
                <w:kern w:val="0"/>
                <w:sz w:val="24"/>
                <w:szCs w:val="24"/>
              </w:rPr>
              <w:t>灾害</w:t>
            </w:r>
          </w:p>
          <w:p>
            <w:pPr>
              <w:adjustRightInd w:val="0"/>
              <w:snapToGrid w:val="0"/>
              <w:spacing w:line="320" w:lineRule="exact"/>
              <w:jc w:val="center"/>
              <w:rPr>
                <w:rFonts w:ascii="仿宋_GB2312"/>
                <w:kern w:val="0"/>
                <w:sz w:val="24"/>
                <w:szCs w:val="24"/>
              </w:rPr>
            </w:pPr>
            <w:r>
              <w:rPr>
                <w:rFonts w:hint="eastAsia" w:ascii="仿宋_GB2312"/>
                <w:kern w:val="0"/>
                <w:sz w:val="24"/>
                <w:szCs w:val="24"/>
              </w:rPr>
              <w:t>风险</w:t>
            </w:r>
          </w:p>
          <w:p>
            <w:pPr>
              <w:adjustRightInd w:val="0"/>
              <w:snapToGrid w:val="0"/>
              <w:spacing w:line="320" w:lineRule="exact"/>
              <w:jc w:val="center"/>
              <w:rPr>
                <w:rFonts w:ascii="仿宋_GB2312"/>
                <w:kern w:val="0"/>
                <w:sz w:val="24"/>
                <w:szCs w:val="24"/>
              </w:rPr>
            </w:pPr>
            <w:r>
              <w:rPr>
                <w:rFonts w:hint="eastAsia" w:ascii="仿宋_GB2312"/>
                <w:kern w:val="0"/>
                <w:sz w:val="24"/>
                <w:szCs w:val="24"/>
              </w:rPr>
              <w:t>防治</w:t>
            </w:r>
          </w:p>
          <w:p>
            <w:pPr>
              <w:adjustRightInd w:val="0"/>
              <w:snapToGrid w:val="0"/>
              <w:spacing w:line="320" w:lineRule="exact"/>
              <w:jc w:val="center"/>
              <w:rPr>
                <w:rFonts w:ascii="仿宋_GB2312"/>
                <w:kern w:val="0"/>
                <w:sz w:val="24"/>
                <w:szCs w:val="24"/>
              </w:rPr>
            </w:pPr>
            <w:r>
              <w:rPr>
                <w:rFonts w:hint="eastAsia" w:ascii="仿宋_GB2312"/>
                <w:kern w:val="0"/>
                <w:sz w:val="24"/>
                <w:szCs w:val="24"/>
              </w:rPr>
              <w:t>能力</w:t>
            </w:r>
          </w:p>
        </w:tc>
        <w:tc>
          <w:tcPr>
            <w:tcW w:w="851" w:type="dxa"/>
            <w:vAlign w:val="center"/>
          </w:tcPr>
          <w:p>
            <w:pPr>
              <w:adjustRightInd w:val="0"/>
              <w:snapToGrid w:val="0"/>
              <w:spacing w:line="320" w:lineRule="exact"/>
              <w:jc w:val="center"/>
              <w:rPr>
                <w:rFonts w:ascii="仿宋_GB2312"/>
                <w:kern w:val="0"/>
                <w:sz w:val="24"/>
                <w:szCs w:val="24"/>
              </w:rPr>
            </w:pPr>
            <w:r>
              <w:rPr>
                <w:rFonts w:hint="eastAsia" w:ascii="宋体" w:hAnsi="宋体" w:eastAsia="宋体" w:cs="宋体"/>
                <w:kern w:val="0"/>
                <w:sz w:val="24"/>
                <w:szCs w:val="24"/>
              </w:rPr>
              <w:t>4</w:t>
            </w:r>
          </w:p>
        </w:tc>
        <w:tc>
          <w:tcPr>
            <w:tcW w:w="2835" w:type="dxa"/>
            <w:vAlign w:val="center"/>
          </w:tcPr>
          <w:p>
            <w:pPr>
              <w:adjustRightInd w:val="0"/>
              <w:snapToGrid w:val="0"/>
              <w:spacing w:line="320" w:lineRule="exact"/>
              <w:rPr>
                <w:rFonts w:ascii="仿宋_GB2312"/>
                <w:kern w:val="0"/>
                <w:sz w:val="24"/>
                <w:szCs w:val="24"/>
              </w:rPr>
            </w:pPr>
            <w:r>
              <w:rPr>
                <w:rFonts w:hint="eastAsia" w:ascii="仿宋_GB2312"/>
                <w:kern w:val="0"/>
                <w:sz w:val="24"/>
                <w:szCs w:val="24"/>
              </w:rPr>
              <w:t>地震活动断层探测完成量</w:t>
            </w:r>
          </w:p>
        </w:tc>
        <w:tc>
          <w:tcPr>
            <w:tcW w:w="4252" w:type="dxa"/>
            <w:vAlign w:val="center"/>
          </w:tcPr>
          <w:p>
            <w:pPr>
              <w:adjustRightInd w:val="0"/>
              <w:snapToGrid w:val="0"/>
              <w:spacing w:line="320" w:lineRule="exact"/>
              <w:rPr>
                <w:rFonts w:ascii="仿宋_GB2312"/>
                <w:kern w:val="0"/>
                <w:sz w:val="21"/>
                <w:szCs w:val="21"/>
              </w:rPr>
            </w:pPr>
            <w:r>
              <w:rPr>
                <w:rFonts w:hint="eastAsia" w:ascii="仿宋_GB2312"/>
                <w:kern w:val="0"/>
                <w:sz w:val="24"/>
                <w:szCs w:val="24"/>
              </w:rPr>
              <w:t>完成不少于</w:t>
            </w:r>
            <w:r>
              <w:rPr>
                <w:rFonts w:ascii="宋体" w:hAnsi="宋体" w:eastAsia="宋体"/>
                <w:sz w:val="24"/>
                <w:szCs w:val="24"/>
              </w:rPr>
              <w:t>15</w:t>
            </w:r>
            <w:r>
              <w:rPr>
                <w:rFonts w:hint="eastAsia" w:ascii="仿宋_GB2312"/>
                <w:kern w:val="0"/>
                <w:sz w:val="24"/>
                <w:szCs w:val="24"/>
              </w:rPr>
              <w:t>条活动断层填图;完成不少于</w:t>
            </w:r>
            <w:r>
              <w:rPr>
                <w:rFonts w:ascii="宋体" w:hAnsi="宋体" w:eastAsia="宋体"/>
                <w:sz w:val="24"/>
                <w:szCs w:val="24"/>
              </w:rPr>
              <w:t>20</w:t>
            </w:r>
            <w:r>
              <w:rPr>
                <w:rFonts w:hint="eastAsia" w:ascii="仿宋_GB2312"/>
                <w:kern w:val="0"/>
                <w:sz w:val="24"/>
                <w:szCs w:val="24"/>
              </w:rPr>
              <w:t>个城市活动断层探测。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17" w:type="dxa"/>
            <w:vMerge w:val="continue"/>
            <w:vAlign w:val="center"/>
          </w:tcPr>
          <w:p>
            <w:pPr>
              <w:adjustRightInd w:val="0"/>
              <w:snapToGrid w:val="0"/>
              <w:spacing w:line="320" w:lineRule="exact"/>
              <w:jc w:val="center"/>
              <w:rPr>
                <w:rFonts w:ascii="仿宋_GB2312"/>
                <w:strike/>
                <w:kern w:val="0"/>
                <w:sz w:val="24"/>
                <w:szCs w:val="24"/>
              </w:rPr>
            </w:pPr>
          </w:p>
        </w:tc>
        <w:tc>
          <w:tcPr>
            <w:tcW w:w="851" w:type="dxa"/>
            <w:vAlign w:val="center"/>
          </w:tcPr>
          <w:p>
            <w:pPr>
              <w:adjustRightInd w:val="0"/>
              <w:snapToGrid w:val="0"/>
              <w:spacing w:line="320" w:lineRule="exact"/>
              <w:jc w:val="center"/>
              <w:rPr>
                <w:rFonts w:ascii="仿宋_GB2312"/>
                <w:kern w:val="0"/>
                <w:sz w:val="24"/>
                <w:szCs w:val="24"/>
              </w:rPr>
            </w:pPr>
            <w:r>
              <w:rPr>
                <w:rFonts w:hint="eastAsia" w:ascii="宋体" w:hAnsi="宋体" w:eastAsia="宋体" w:cs="宋体"/>
                <w:kern w:val="0"/>
                <w:sz w:val="24"/>
                <w:szCs w:val="24"/>
              </w:rPr>
              <w:t>5</w:t>
            </w:r>
          </w:p>
        </w:tc>
        <w:tc>
          <w:tcPr>
            <w:tcW w:w="2835" w:type="dxa"/>
            <w:vAlign w:val="center"/>
          </w:tcPr>
          <w:p>
            <w:pPr>
              <w:adjustRightInd w:val="0"/>
              <w:snapToGrid w:val="0"/>
              <w:spacing w:line="320" w:lineRule="exact"/>
              <w:rPr>
                <w:rFonts w:ascii="仿宋_GB2312"/>
                <w:kern w:val="0"/>
                <w:sz w:val="24"/>
                <w:szCs w:val="24"/>
              </w:rPr>
            </w:pPr>
            <w:r>
              <w:rPr>
                <w:rFonts w:hint="eastAsia" w:ascii="仿宋_GB2312"/>
                <w:kern w:val="0"/>
                <w:sz w:val="24"/>
                <w:szCs w:val="24"/>
              </w:rPr>
              <w:t>地震灾害风险调查和重点隐患排查完成量</w:t>
            </w:r>
          </w:p>
        </w:tc>
        <w:tc>
          <w:tcPr>
            <w:tcW w:w="4252" w:type="dxa"/>
            <w:vAlign w:val="center"/>
          </w:tcPr>
          <w:p>
            <w:pPr>
              <w:adjustRightInd w:val="0"/>
              <w:snapToGrid w:val="0"/>
              <w:spacing w:line="320" w:lineRule="exact"/>
              <w:rPr>
                <w:rFonts w:ascii="仿宋_GB2312"/>
                <w:kern w:val="0"/>
                <w:sz w:val="24"/>
                <w:szCs w:val="24"/>
              </w:rPr>
            </w:pPr>
            <w:r>
              <w:rPr>
                <w:rFonts w:hint="eastAsia" w:ascii="仿宋_GB2312"/>
                <w:kern w:val="0"/>
                <w:sz w:val="24"/>
                <w:szCs w:val="24"/>
              </w:rPr>
              <w:t>完成全国地震灾害风险调查基础数据库建设，数据入库检测通过率</w:t>
            </w:r>
            <w:r>
              <w:rPr>
                <w:rFonts w:hint="eastAsia" w:ascii="宋体" w:hAnsi="宋体" w:eastAsia="宋体"/>
                <w:sz w:val="24"/>
                <w:szCs w:val="24"/>
              </w:rPr>
              <w:t>95%</w:t>
            </w:r>
            <w:r>
              <w:rPr>
                <w:rFonts w:hint="eastAsia" w:ascii="仿宋_GB2312"/>
                <w:kern w:val="0"/>
                <w:sz w:val="24"/>
                <w:szCs w:val="24"/>
              </w:rPr>
              <w:t>以上；完成全国</w:t>
            </w:r>
            <w:r>
              <w:rPr>
                <w:rFonts w:hint="eastAsia" w:ascii="宋体" w:hAnsi="宋体" w:eastAsia="宋体"/>
                <w:sz w:val="24"/>
                <w:szCs w:val="24"/>
              </w:rPr>
              <w:t>1:100</w:t>
            </w:r>
            <w:r>
              <w:rPr>
                <w:rFonts w:hint="eastAsia" w:ascii="仿宋_GB2312"/>
                <w:kern w:val="0"/>
                <w:sz w:val="24"/>
                <w:szCs w:val="24"/>
              </w:rPr>
              <w:t>万和</w:t>
            </w:r>
            <w:r>
              <w:rPr>
                <w:rFonts w:hint="eastAsia" w:ascii="宋体" w:hAnsi="宋体" w:eastAsia="宋体"/>
                <w:sz w:val="24"/>
                <w:szCs w:val="24"/>
              </w:rPr>
              <w:t>31</w:t>
            </w:r>
            <w:r>
              <w:rPr>
                <w:rFonts w:hint="eastAsia" w:ascii="仿宋_GB2312"/>
                <w:kern w:val="0"/>
                <w:sz w:val="24"/>
                <w:szCs w:val="24"/>
              </w:rPr>
              <w:t>个省级</w:t>
            </w:r>
            <w:r>
              <w:rPr>
                <w:rFonts w:hint="eastAsia" w:ascii="宋体" w:hAnsi="宋体" w:eastAsia="宋体"/>
                <w:sz w:val="24"/>
                <w:szCs w:val="24"/>
              </w:rPr>
              <w:t>1:25</w:t>
            </w:r>
            <w:r>
              <w:rPr>
                <w:rFonts w:hint="eastAsia" w:ascii="仿宋_GB2312"/>
                <w:kern w:val="0"/>
                <w:sz w:val="24"/>
                <w:szCs w:val="24"/>
              </w:rPr>
              <w:t>万的地震构造图、地震危险性图、地震灾害风险图；完成全国地震易发区地震灾害重点隐患分布图，初步完成第六代区划图编制。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17" w:type="dxa"/>
            <w:vMerge w:val="continue"/>
            <w:vAlign w:val="center"/>
          </w:tcPr>
          <w:p>
            <w:pPr>
              <w:adjustRightInd w:val="0"/>
              <w:snapToGrid w:val="0"/>
              <w:spacing w:line="320" w:lineRule="exact"/>
              <w:jc w:val="center"/>
              <w:rPr>
                <w:rFonts w:ascii="仿宋_GB2312"/>
                <w:strike/>
                <w:kern w:val="0"/>
                <w:sz w:val="24"/>
                <w:szCs w:val="24"/>
              </w:rPr>
            </w:pPr>
          </w:p>
        </w:tc>
        <w:tc>
          <w:tcPr>
            <w:tcW w:w="851" w:type="dxa"/>
            <w:vAlign w:val="center"/>
          </w:tcPr>
          <w:p>
            <w:pPr>
              <w:adjustRightInd w:val="0"/>
              <w:snapToGrid w:val="0"/>
              <w:spacing w:line="320" w:lineRule="exact"/>
              <w:jc w:val="center"/>
              <w:rPr>
                <w:rFonts w:ascii="仿宋_GB2312"/>
                <w:kern w:val="0"/>
                <w:sz w:val="24"/>
                <w:szCs w:val="24"/>
              </w:rPr>
            </w:pPr>
            <w:r>
              <w:rPr>
                <w:rFonts w:hint="eastAsia" w:ascii="宋体" w:hAnsi="宋体" w:eastAsia="宋体" w:cs="宋体"/>
                <w:kern w:val="0"/>
                <w:sz w:val="24"/>
                <w:szCs w:val="24"/>
              </w:rPr>
              <w:t>6</w:t>
            </w:r>
          </w:p>
        </w:tc>
        <w:tc>
          <w:tcPr>
            <w:tcW w:w="2835" w:type="dxa"/>
            <w:vAlign w:val="center"/>
          </w:tcPr>
          <w:p>
            <w:pPr>
              <w:spacing w:line="320" w:lineRule="exact"/>
              <w:rPr>
                <w:rFonts w:ascii="仿宋_GB2312" w:hAnsi="仿宋_GB2312" w:cs="仿宋_GB2312"/>
                <w:sz w:val="24"/>
                <w:szCs w:val="24"/>
              </w:rPr>
            </w:pPr>
            <w:r>
              <w:rPr>
                <w:rFonts w:hint="eastAsia" w:ascii="仿宋_GB2312" w:hAnsi="仿宋_GB2312" w:cs="仿宋_GB2312"/>
                <w:sz w:val="24"/>
                <w:szCs w:val="24"/>
              </w:rPr>
              <w:t>地震易发区房屋加固改造完成量</w:t>
            </w:r>
          </w:p>
        </w:tc>
        <w:tc>
          <w:tcPr>
            <w:tcW w:w="4252" w:type="dxa"/>
            <w:vAlign w:val="center"/>
          </w:tcPr>
          <w:p>
            <w:pPr>
              <w:adjustRightInd w:val="0"/>
              <w:snapToGrid w:val="0"/>
              <w:spacing w:line="320" w:lineRule="exact"/>
              <w:rPr>
                <w:rFonts w:ascii="仿宋_GB2312"/>
                <w:kern w:val="0"/>
                <w:sz w:val="24"/>
                <w:szCs w:val="24"/>
              </w:rPr>
            </w:pPr>
            <w:r>
              <w:rPr>
                <w:rFonts w:hint="eastAsia" w:ascii="仿宋_GB2312"/>
                <w:kern w:val="0"/>
                <w:sz w:val="24"/>
                <w:szCs w:val="24"/>
              </w:rPr>
              <w:t>城市不少于</w:t>
            </w:r>
            <w:r>
              <w:rPr>
                <w:rFonts w:hint="eastAsia" w:ascii="宋体" w:hAnsi="宋体" w:eastAsia="宋体"/>
                <w:sz w:val="24"/>
                <w:szCs w:val="24"/>
              </w:rPr>
              <w:t>400</w:t>
            </w:r>
            <w:r>
              <w:rPr>
                <w:rFonts w:hint="eastAsia" w:ascii="仿宋_GB2312"/>
                <w:kern w:val="0"/>
                <w:sz w:val="24"/>
                <w:szCs w:val="24"/>
              </w:rPr>
              <w:t>万套；农村不少于</w:t>
            </w:r>
            <w:r>
              <w:rPr>
                <w:rFonts w:ascii="宋体" w:hAnsi="宋体" w:eastAsia="宋体"/>
                <w:sz w:val="24"/>
                <w:szCs w:val="24"/>
              </w:rPr>
              <w:t>3</w:t>
            </w:r>
            <w:r>
              <w:rPr>
                <w:rFonts w:hint="eastAsia" w:ascii="宋体" w:hAnsi="宋体" w:eastAsia="宋体"/>
                <w:sz w:val="24"/>
                <w:szCs w:val="24"/>
              </w:rPr>
              <w:t>00</w:t>
            </w:r>
            <w:r>
              <w:rPr>
                <w:rFonts w:hint="eastAsia" w:ascii="仿宋_GB2312"/>
                <w:kern w:val="0"/>
                <w:sz w:val="24"/>
                <w:szCs w:val="24"/>
              </w:rPr>
              <w:t>万户。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817" w:type="dxa"/>
            <w:vMerge w:val="restart"/>
            <w:vAlign w:val="center"/>
          </w:tcPr>
          <w:p>
            <w:pPr>
              <w:adjustRightInd w:val="0"/>
              <w:snapToGrid w:val="0"/>
              <w:spacing w:line="320" w:lineRule="exact"/>
              <w:jc w:val="center"/>
              <w:rPr>
                <w:rFonts w:ascii="仿宋_GB2312"/>
                <w:kern w:val="0"/>
                <w:sz w:val="24"/>
                <w:szCs w:val="24"/>
              </w:rPr>
            </w:pPr>
            <w:r>
              <w:rPr>
                <w:rFonts w:hint="eastAsia" w:ascii="仿宋_GB2312"/>
                <w:kern w:val="0"/>
                <w:sz w:val="24"/>
                <w:szCs w:val="24"/>
              </w:rPr>
              <w:t>地震</w:t>
            </w:r>
          </w:p>
          <w:p>
            <w:pPr>
              <w:adjustRightInd w:val="0"/>
              <w:snapToGrid w:val="0"/>
              <w:spacing w:line="320" w:lineRule="exact"/>
              <w:jc w:val="center"/>
              <w:rPr>
                <w:rFonts w:ascii="仿宋_GB2312"/>
                <w:kern w:val="0"/>
                <w:sz w:val="24"/>
                <w:szCs w:val="24"/>
              </w:rPr>
            </w:pPr>
            <w:r>
              <w:rPr>
                <w:rFonts w:hint="eastAsia" w:ascii="仿宋_GB2312"/>
                <w:kern w:val="0"/>
                <w:sz w:val="24"/>
                <w:szCs w:val="24"/>
              </w:rPr>
              <w:t>应急</w:t>
            </w:r>
          </w:p>
          <w:p>
            <w:pPr>
              <w:adjustRightInd w:val="0"/>
              <w:snapToGrid w:val="0"/>
              <w:spacing w:line="320" w:lineRule="exact"/>
              <w:jc w:val="center"/>
              <w:rPr>
                <w:rFonts w:ascii="仿宋_GB2312"/>
                <w:kern w:val="0"/>
                <w:sz w:val="24"/>
                <w:szCs w:val="24"/>
              </w:rPr>
            </w:pPr>
            <w:r>
              <w:rPr>
                <w:rFonts w:hint="eastAsia" w:ascii="仿宋_GB2312"/>
                <w:kern w:val="0"/>
                <w:sz w:val="24"/>
                <w:szCs w:val="24"/>
              </w:rPr>
              <w:t>响应</w:t>
            </w:r>
          </w:p>
          <w:p>
            <w:pPr>
              <w:adjustRightInd w:val="0"/>
              <w:snapToGrid w:val="0"/>
              <w:spacing w:line="320" w:lineRule="exact"/>
              <w:jc w:val="center"/>
              <w:rPr>
                <w:rFonts w:ascii="仿宋_GB2312"/>
                <w:kern w:val="0"/>
                <w:sz w:val="24"/>
                <w:szCs w:val="24"/>
              </w:rPr>
            </w:pPr>
            <w:r>
              <w:rPr>
                <w:rFonts w:hint="eastAsia" w:ascii="仿宋_GB2312"/>
                <w:kern w:val="0"/>
                <w:sz w:val="24"/>
                <w:szCs w:val="24"/>
              </w:rPr>
              <w:t>服务</w:t>
            </w:r>
          </w:p>
          <w:p>
            <w:pPr>
              <w:adjustRightInd w:val="0"/>
              <w:snapToGrid w:val="0"/>
              <w:spacing w:line="320" w:lineRule="exact"/>
              <w:jc w:val="center"/>
              <w:rPr>
                <w:rFonts w:ascii="仿宋_GB2312"/>
                <w:strike/>
                <w:kern w:val="0"/>
                <w:sz w:val="24"/>
                <w:szCs w:val="24"/>
              </w:rPr>
            </w:pPr>
            <w:r>
              <w:rPr>
                <w:rFonts w:hint="eastAsia" w:ascii="仿宋_GB2312"/>
                <w:kern w:val="0"/>
                <w:sz w:val="24"/>
                <w:szCs w:val="24"/>
              </w:rPr>
              <w:t>能力</w:t>
            </w:r>
          </w:p>
        </w:tc>
        <w:tc>
          <w:tcPr>
            <w:tcW w:w="851" w:type="dxa"/>
            <w:vAlign w:val="center"/>
          </w:tcPr>
          <w:p>
            <w:pPr>
              <w:adjustRightInd w:val="0"/>
              <w:snapToGrid w:val="0"/>
              <w:spacing w:line="320" w:lineRule="exact"/>
              <w:jc w:val="center"/>
              <w:rPr>
                <w:rFonts w:ascii="仿宋_GB2312"/>
                <w:kern w:val="0"/>
                <w:sz w:val="24"/>
                <w:szCs w:val="24"/>
              </w:rPr>
            </w:pPr>
            <w:r>
              <w:rPr>
                <w:rFonts w:hint="eastAsia" w:ascii="宋体" w:hAnsi="宋体" w:eastAsia="宋体" w:cs="宋体"/>
                <w:kern w:val="0"/>
                <w:sz w:val="24"/>
                <w:szCs w:val="24"/>
              </w:rPr>
              <w:t>7</w:t>
            </w:r>
          </w:p>
        </w:tc>
        <w:tc>
          <w:tcPr>
            <w:tcW w:w="2835" w:type="dxa"/>
            <w:vAlign w:val="center"/>
          </w:tcPr>
          <w:p>
            <w:pPr>
              <w:adjustRightInd w:val="0"/>
              <w:snapToGrid w:val="0"/>
              <w:spacing w:line="320" w:lineRule="exact"/>
              <w:jc w:val="left"/>
              <w:rPr>
                <w:rFonts w:ascii="仿宋_GB2312"/>
                <w:kern w:val="0"/>
                <w:sz w:val="24"/>
                <w:szCs w:val="24"/>
                <w:bdr w:val="single" w:color="auto" w:sz="4" w:space="0"/>
                <w:shd w:val="pct10" w:color="auto" w:fill="FFFFFF"/>
              </w:rPr>
            </w:pPr>
            <w:r>
              <w:rPr>
                <w:rFonts w:hint="eastAsia" w:ascii="仿宋_GB2312"/>
                <w:kern w:val="0"/>
                <w:sz w:val="24"/>
                <w:szCs w:val="24"/>
              </w:rPr>
              <w:t>地震应急响应保障水平</w:t>
            </w:r>
          </w:p>
        </w:tc>
        <w:tc>
          <w:tcPr>
            <w:tcW w:w="4252" w:type="dxa"/>
            <w:vAlign w:val="center"/>
          </w:tcPr>
          <w:p>
            <w:pPr>
              <w:adjustRightInd w:val="0"/>
              <w:snapToGrid w:val="0"/>
              <w:spacing w:line="320" w:lineRule="exact"/>
              <w:rPr>
                <w:rFonts w:ascii="仿宋_GB2312"/>
                <w:kern w:val="0"/>
                <w:sz w:val="24"/>
                <w:szCs w:val="24"/>
                <w:bdr w:val="single" w:color="auto" w:sz="4" w:space="0"/>
                <w:shd w:val="pct10" w:color="auto" w:fill="FFFFFF"/>
              </w:rPr>
            </w:pPr>
            <w:r>
              <w:rPr>
                <w:rFonts w:hint="eastAsia" w:ascii="仿宋_GB2312"/>
                <w:kern w:val="0"/>
                <w:sz w:val="24"/>
                <w:szCs w:val="24"/>
              </w:rPr>
              <w:t>震后</w:t>
            </w:r>
            <w:r>
              <w:rPr>
                <w:rFonts w:ascii="宋体" w:hAnsi="宋体" w:eastAsia="宋体"/>
                <w:sz w:val="24"/>
                <w:szCs w:val="24"/>
              </w:rPr>
              <w:t>15</w:t>
            </w:r>
            <w:r>
              <w:rPr>
                <w:rFonts w:hint="eastAsia" w:ascii="仿宋_GB2312"/>
                <w:kern w:val="0"/>
                <w:sz w:val="24"/>
                <w:szCs w:val="24"/>
              </w:rPr>
              <w:t>分钟内提供地震灾害自动快速评估简报，震后</w:t>
            </w:r>
            <w:r>
              <w:rPr>
                <w:rFonts w:hint="eastAsia" w:ascii="宋体" w:hAnsi="宋体" w:eastAsia="宋体"/>
                <w:sz w:val="24"/>
                <w:szCs w:val="24"/>
              </w:rPr>
              <w:t>4</w:t>
            </w:r>
            <w:r>
              <w:rPr>
                <w:rFonts w:ascii="宋体" w:hAnsi="宋体" w:eastAsia="宋体"/>
                <w:sz w:val="24"/>
                <w:szCs w:val="24"/>
              </w:rPr>
              <w:t>0</w:t>
            </w:r>
            <w:r>
              <w:rPr>
                <w:rFonts w:hint="eastAsia" w:ascii="仿宋_GB2312"/>
                <w:kern w:val="0"/>
                <w:sz w:val="24"/>
                <w:szCs w:val="24"/>
              </w:rPr>
              <w:t>分钟内提供地震灾害快速评估专报；震后</w:t>
            </w:r>
            <w:r>
              <w:rPr>
                <w:rFonts w:ascii="宋体" w:hAnsi="宋体" w:eastAsia="宋体"/>
                <w:sz w:val="24"/>
                <w:szCs w:val="24"/>
              </w:rPr>
              <w:t>10</w:t>
            </w:r>
            <w:r>
              <w:rPr>
                <w:rFonts w:hint="eastAsia" w:ascii="仿宋_GB2312"/>
                <w:kern w:val="0"/>
                <w:sz w:val="24"/>
                <w:szCs w:val="24"/>
              </w:rPr>
              <w:t>分钟内提供地震趋势自动快速研判意见，震后</w:t>
            </w:r>
            <w:r>
              <w:rPr>
                <w:rFonts w:ascii="宋体" w:hAnsi="宋体" w:eastAsia="宋体"/>
                <w:sz w:val="24"/>
                <w:szCs w:val="24"/>
              </w:rPr>
              <w:t>60</w:t>
            </w:r>
            <w:r>
              <w:rPr>
                <w:rFonts w:hint="eastAsia" w:ascii="仿宋_GB2312"/>
                <w:kern w:val="0"/>
                <w:sz w:val="24"/>
                <w:szCs w:val="24"/>
              </w:rPr>
              <w:t>分钟内提供地震趋势研判意见。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817" w:type="dxa"/>
            <w:vMerge w:val="continue"/>
            <w:vAlign w:val="center"/>
          </w:tcPr>
          <w:p>
            <w:pPr>
              <w:adjustRightInd w:val="0"/>
              <w:snapToGrid w:val="0"/>
              <w:spacing w:line="320" w:lineRule="exact"/>
              <w:jc w:val="center"/>
              <w:rPr>
                <w:rFonts w:ascii="仿宋_GB2312"/>
                <w:strike/>
                <w:kern w:val="0"/>
                <w:sz w:val="24"/>
                <w:szCs w:val="24"/>
              </w:rPr>
            </w:pPr>
          </w:p>
        </w:tc>
        <w:tc>
          <w:tcPr>
            <w:tcW w:w="851" w:type="dxa"/>
            <w:vAlign w:val="center"/>
          </w:tcPr>
          <w:p>
            <w:pPr>
              <w:adjustRightInd w:val="0"/>
              <w:snapToGrid w:val="0"/>
              <w:spacing w:line="320" w:lineRule="exact"/>
              <w:jc w:val="center"/>
              <w:rPr>
                <w:rFonts w:ascii="仿宋_GB2312"/>
                <w:kern w:val="0"/>
                <w:sz w:val="24"/>
                <w:szCs w:val="24"/>
              </w:rPr>
            </w:pPr>
            <w:r>
              <w:rPr>
                <w:rFonts w:hint="eastAsia" w:ascii="宋体" w:hAnsi="宋体" w:eastAsia="宋体" w:cs="宋体"/>
                <w:kern w:val="0"/>
                <w:sz w:val="24"/>
                <w:szCs w:val="24"/>
              </w:rPr>
              <w:t>8</w:t>
            </w:r>
          </w:p>
        </w:tc>
        <w:tc>
          <w:tcPr>
            <w:tcW w:w="2835" w:type="dxa"/>
            <w:vAlign w:val="center"/>
          </w:tcPr>
          <w:p>
            <w:pPr>
              <w:adjustRightInd w:val="0"/>
              <w:snapToGrid w:val="0"/>
              <w:spacing w:line="320" w:lineRule="exact"/>
              <w:jc w:val="left"/>
              <w:rPr>
                <w:rFonts w:ascii="仿宋_GB2312"/>
                <w:kern w:val="0"/>
                <w:sz w:val="24"/>
                <w:szCs w:val="24"/>
              </w:rPr>
            </w:pPr>
            <w:r>
              <w:rPr>
                <w:rFonts w:hint="eastAsia" w:ascii="仿宋_GB2312"/>
                <w:kern w:val="0"/>
                <w:sz w:val="24"/>
                <w:szCs w:val="24"/>
              </w:rPr>
              <w:t>地震现场灾害评估水平</w:t>
            </w:r>
          </w:p>
        </w:tc>
        <w:tc>
          <w:tcPr>
            <w:tcW w:w="4252" w:type="dxa"/>
            <w:vAlign w:val="center"/>
          </w:tcPr>
          <w:p>
            <w:pPr>
              <w:adjustRightInd w:val="0"/>
              <w:snapToGrid w:val="0"/>
              <w:spacing w:line="320" w:lineRule="exact"/>
              <w:rPr>
                <w:rFonts w:ascii="仿宋_GB2312"/>
                <w:kern w:val="0"/>
                <w:sz w:val="24"/>
                <w:szCs w:val="24"/>
              </w:rPr>
            </w:pPr>
            <w:r>
              <w:rPr>
                <w:rFonts w:hint="eastAsia" w:ascii="仿宋_GB2312"/>
                <w:kern w:val="0"/>
                <w:sz w:val="24"/>
                <w:szCs w:val="24"/>
              </w:rPr>
              <w:t>一般破坏性地震发生后</w:t>
            </w:r>
            <w:r>
              <w:rPr>
                <w:rFonts w:hint="eastAsia" w:ascii="宋体" w:hAnsi="宋体" w:eastAsia="宋体"/>
                <w:sz w:val="24"/>
                <w:szCs w:val="24"/>
              </w:rPr>
              <w:t>4—</w:t>
            </w:r>
            <w:r>
              <w:rPr>
                <w:rFonts w:ascii="宋体" w:hAnsi="宋体" w:eastAsia="宋体"/>
                <w:sz w:val="24"/>
                <w:szCs w:val="24"/>
              </w:rPr>
              <w:t>7</w:t>
            </w:r>
            <w:r>
              <w:rPr>
                <w:rFonts w:hint="eastAsia" w:ascii="仿宋_GB2312"/>
                <w:kern w:val="0"/>
                <w:sz w:val="24"/>
                <w:szCs w:val="24"/>
              </w:rPr>
              <w:t>天提供地震烈度图。</w:t>
            </w:r>
          </w:p>
        </w:tc>
      </w:tr>
    </w:tbl>
    <w:p>
      <w:pPr>
        <w:spacing w:line="560" w:lineRule="exact"/>
        <w:ind w:firstLine="628" w:firstLineChars="200"/>
        <w:outlineLvl w:val="0"/>
        <w:rPr>
          <w:rFonts w:ascii="黑体" w:hAnsi="黑体" w:eastAsia="黑体"/>
          <w:szCs w:val="32"/>
        </w:rPr>
      </w:pPr>
      <w:bookmarkStart w:id="10" w:name="_Toc66957160"/>
      <w:r>
        <w:rPr>
          <w:rFonts w:hint="eastAsia" w:ascii="黑体" w:hAnsi="黑体" w:eastAsia="黑体"/>
          <w:szCs w:val="32"/>
        </w:rPr>
        <w:t>三、主要任务</w:t>
      </w:r>
      <w:bookmarkEnd w:id="10"/>
    </w:p>
    <w:p>
      <w:pPr>
        <w:spacing w:line="570" w:lineRule="exact"/>
        <w:ind w:firstLine="628" w:firstLineChars="200"/>
        <w:outlineLvl w:val="1"/>
        <w:rPr>
          <w:rFonts w:ascii="楷体_GB2312" w:hAnsi="楷体" w:eastAsia="楷体_GB2312" w:cs="楷体"/>
          <w:bCs/>
          <w:szCs w:val="32"/>
        </w:rPr>
      </w:pPr>
      <w:bookmarkStart w:id="11" w:name="_Toc66957161"/>
      <w:bookmarkStart w:id="12" w:name="_Toc33021438"/>
      <w:r>
        <w:rPr>
          <w:rFonts w:hint="eastAsia" w:ascii="楷体_GB2312" w:hAnsi="楷体" w:eastAsia="楷体_GB2312" w:cs="楷体"/>
          <w:bCs/>
          <w:szCs w:val="32"/>
        </w:rPr>
        <w:t>（一）提升地震监测预报预警能力</w:t>
      </w:r>
      <w:bookmarkEnd w:id="11"/>
      <w:r>
        <w:rPr>
          <w:rFonts w:hint="eastAsia" w:ascii="楷体_GB2312" w:hAnsi="楷体" w:eastAsia="楷体_GB2312" w:cs="楷体"/>
          <w:bCs/>
          <w:szCs w:val="32"/>
        </w:rPr>
        <w:t>。</w:t>
      </w:r>
    </w:p>
    <w:p>
      <w:pPr>
        <w:spacing w:line="560" w:lineRule="exact"/>
        <w:ind w:firstLine="628" w:firstLineChars="200"/>
        <w:rPr>
          <w:rFonts w:ascii="仿宋_GB2312"/>
          <w:szCs w:val="32"/>
        </w:rPr>
      </w:pPr>
      <w:r>
        <w:rPr>
          <w:rFonts w:hint="eastAsia" w:ascii="仿宋_GB2312"/>
          <w:b/>
          <w:bCs/>
          <w:szCs w:val="32"/>
        </w:rPr>
        <w:t>夯实监测基础。</w:t>
      </w:r>
      <w:r>
        <w:rPr>
          <w:rFonts w:hint="eastAsia" w:ascii="仿宋_GB2312"/>
          <w:szCs w:val="32"/>
        </w:rPr>
        <w:t>优化测震观测和地球物理观测站网，初步完成基准站布局调整与建设，推进基本站建设与完善，着力提升四川、云南、西藏、新疆、青海等西部地区和近海海域的地震监测能力。强化京津冀地震安全风险监测业务一体化。完善水库、核电、火山、煤矿等专用监测台网，提升非天然地震事件的监测能力。发展Li</w:t>
      </w:r>
      <w:r>
        <w:rPr>
          <w:rFonts w:ascii="仿宋_GB2312"/>
          <w:szCs w:val="32"/>
        </w:rPr>
        <w:t>DAR、</w:t>
      </w:r>
      <w:r>
        <w:rPr>
          <w:rFonts w:hint="eastAsia" w:ascii="仿宋_GB2312"/>
          <w:szCs w:val="32"/>
        </w:rPr>
        <w:t>In</w:t>
      </w:r>
      <w:r>
        <w:rPr>
          <w:rFonts w:ascii="仿宋_GB2312"/>
          <w:szCs w:val="32"/>
        </w:rPr>
        <w:t>SAR、重力和电磁等空间对地观测技术应用，</w:t>
      </w:r>
      <w:r>
        <w:rPr>
          <w:rFonts w:hint="eastAsia" w:ascii="仿宋_GB2312"/>
          <w:szCs w:val="32"/>
        </w:rPr>
        <w:t>探索</w:t>
      </w:r>
      <w:r>
        <w:rPr>
          <w:rFonts w:ascii="仿宋_GB2312"/>
          <w:szCs w:val="32"/>
        </w:rPr>
        <w:t>无人机探测和船载综合物理观测技术。</w:t>
      </w:r>
      <w:r>
        <w:rPr>
          <w:rFonts w:hint="eastAsia" w:ascii="仿宋_GB2312"/>
          <w:szCs w:val="32"/>
        </w:rPr>
        <w:t>形成覆盖我国海陆及周边地区的现代化综合地震监测体系。实施地震台站改革，构建“国家地震台、省地震台、中心站、一般监测站”四级监测预报预警业务架构，建立健全质量管理体系和标准体系，优化业务流程，推动地震台站业务转型升级。</w:t>
      </w:r>
    </w:p>
    <w:p>
      <w:pPr>
        <w:spacing w:line="560" w:lineRule="exact"/>
        <w:ind w:firstLine="628" w:firstLineChars="200"/>
        <w:rPr>
          <w:rFonts w:ascii="仿宋_GB2312"/>
          <w:szCs w:val="32"/>
        </w:rPr>
      </w:pPr>
      <w:r>
        <w:rPr>
          <w:rFonts w:hint="eastAsia" w:ascii="仿宋_GB2312" w:cs="Calibri"/>
          <w:b/>
          <w:bCs/>
        </w:rPr>
        <w:t>加强地震预报。</w:t>
      </w:r>
      <w:r>
        <w:rPr>
          <w:rFonts w:hint="eastAsia" w:ascii="仿宋_GB2312" w:cs="Calibri"/>
        </w:rPr>
        <w:t>优化地震长中短临和震后趋势预</w:t>
      </w:r>
      <w:r>
        <w:rPr>
          <w:rFonts w:hint="eastAsia" w:ascii="仿宋_GB2312"/>
          <w:szCs w:val="32"/>
        </w:rPr>
        <w:t>报</w:t>
      </w:r>
      <w:r>
        <w:rPr>
          <w:rFonts w:hint="eastAsia" w:ascii="仿宋_GB2312" w:cs="Calibri"/>
        </w:rPr>
        <w:t>业务</w:t>
      </w:r>
      <w:r>
        <w:rPr>
          <w:rFonts w:hint="eastAsia" w:ascii="仿宋_GB2312"/>
          <w:szCs w:val="32"/>
        </w:rPr>
        <w:t>，健全完善地震预报责任体系和业务体系。构建区域</w:t>
      </w:r>
      <w:r>
        <w:rPr>
          <w:rFonts w:hint="eastAsia" w:ascii="仿宋_GB2312" w:cs="Calibri"/>
        </w:rPr>
        <w:t>断层模型，</w:t>
      </w:r>
      <w:r>
        <w:rPr>
          <w:rFonts w:hint="eastAsia" w:ascii="仿宋_GB2312"/>
          <w:szCs w:val="32"/>
        </w:rPr>
        <w:t>探索地震数值预测技术。</w:t>
      </w:r>
      <w:r>
        <w:rPr>
          <w:rFonts w:hint="eastAsia" w:ascii="仿宋_GB2312" w:cs="Calibri"/>
        </w:rPr>
        <w:t>按照地震构造分区，健全完善地震大形势预测、危险区确定和短临预测指标体系，形成基于预测指标的地震综合概率预测业务能力。</w:t>
      </w:r>
      <w:r>
        <w:rPr>
          <w:rFonts w:hint="eastAsia" w:ascii="仿宋_GB2312"/>
          <w:szCs w:val="32"/>
        </w:rPr>
        <w:t>加强区域震情跟踪，完善震情跟踪会商机制，建设全国一体化分析会商技术平台，完善地震预测评价机制。加强地震预报人才队伍建设，组建地震预报分析专家团队</w:t>
      </w:r>
      <w:r>
        <w:rPr>
          <w:rFonts w:hint="eastAsia" w:ascii="仿宋_GB2312" w:hAnsi="Dotum"/>
          <w:shd w:val="clear" w:color="auto" w:fill="FFFFFF"/>
        </w:rPr>
        <w:t>。完善新时期群测群防工作体系，加强地震短临预报实践，力争取得减灾实效。</w:t>
      </w:r>
    </w:p>
    <w:p>
      <w:pPr>
        <w:spacing w:line="560" w:lineRule="exact"/>
        <w:ind w:firstLine="628" w:firstLineChars="200"/>
        <w:rPr>
          <w:rFonts w:ascii="仿宋_GB2312"/>
          <w:szCs w:val="32"/>
        </w:rPr>
      </w:pPr>
      <w:r>
        <w:rPr>
          <w:rFonts w:hint="eastAsia" w:ascii="仿宋_GB2312" w:cs="Calibri"/>
          <w:b/>
          <w:bCs/>
        </w:rPr>
        <w:t>强化预警服务。</w:t>
      </w:r>
      <w:r>
        <w:rPr>
          <w:rFonts w:hint="eastAsia" w:ascii="仿宋_GB2312"/>
          <w:szCs w:val="32"/>
        </w:rPr>
        <w:t>建成国家地震烈度速报与预警系统，形成</w:t>
      </w:r>
      <w:r>
        <w:rPr>
          <w:rFonts w:hint="eastAsia" w:ascii="仿宋_GB2312"/>
          <w:kern w:val="0"/>
          <w:szCs w:val="32"/>
        </w:rPr>
        <w:t>部门联合、上下衔接、管理规范的地震预警体系，完善信息发布政策和制度，</w:t>
      </w:r>
      <w:r>
        <w:rPr>
          <w:rFonts w:hint="eastAsia" w:ascii="仿宋_GB2312" w:hAnsi="仿宋_GB2312" w:cs="仿宋_GB2312"/>
          <w:szCs w:val="32"/>
        </w:rPr>
        <w:t>引导社会力量共建中国地震预警“一张网”，</w:t>
      </w:r>
      <w:r>
        <w:rPr>
          <w:rFonts w:hint="eastAsia" w:ascii="仿宋_GB2312"/>
          <w:kern w:val="0"/>
          <w:szCs w:val="32"/>
        </w:rPr>
        <w:t>强化预警信息服务，实现重点区域震后秒级地震预警信息发布能力、分钟级地震烈度速报能力。重点地区充分利用应急广播、电视、互联网、手机等手段，建设多终端立体化传播平台，</w:t>
      </w:r>
      <w:r>
        <w:rPr>
          <w:rFonts w:hint="eastAsia" w:ascii="仿宋_GB2312"/>
          <w:szCs w:val="32"/>
        </w:rPr>
        <w:t>精准发布地震</w:t>
      </w:r>
      <w:r>
        <w:rPr>
          <w:rFonts w:hint="eastAsia" w:ascii="仿宋_GB2312" w:hAnsi="仿宋_GB2312" w:cs="仿宋_GB2312"/>
          <w:szCs w:val="32"/>
        </w:rPr>
        <w:t>预警信息</w:t>
      </w:r>
      <w:r>
        <w:rPr>
          <w:rFonts w:hint="eastAsia" w:ascii="仿宋_GB2312"/>
          <w:szCs w:val="32"/>
        </w:rPr>
        <w:t>，</w:t>
      </w:r>
      <w:r>
        <w:rPr>
          <w:rFonts w:hint="eastAsia" w:ascii="仿宋_GB2312" w:hAnsi="仿宋_GB2312" w:cs="仿宋_GB2312"/>
          <w:szCs w:val="32"/>
        </w:rPr>
        <w:t>实现到村到户到个人。拓展地震预警</w:t>
      </w:r>
      <w:r>
        <w:rPr>
          <w:rFonts w:hint="eastAsia" w:ascii="仿宋_GB2312"/>
          <w:szCs w:val="32"/>
        </w:rPr>
        <w:t>示范应用，为高铁、核电、水库、危化等行业领域用户提供预警信息。</w:t>
      </w:r>
    </w:p>
    <w:p>
      <w:pPr>
        <w:spacing w:line="570" w:lineRule="exact"/>
        <w:ind w:firstLine="628" w:firstLineChars="200"/>
        <w:outlineLvl w:val="1"/>
        <w:rPr>
          <w:rFonts w:ascii="楷体_GB2312" w:hAnsi="楷体" w:eastAsia="楷体_GB2312" w:cs="楷体"/>
          <w:b/>
          <w:bCs/>
          <w:szCs w:val="32"/>
        </w:rPr>
      </w:pPr>
      <w:bookmarkStart w:id="13" w:name="_Toc66957162"/>
      <w:r>
        <w:rPr>
          <w:rFonts w:hint="eastAsia" w:ascii="楷体_GB2312" w:hAnsi="楷体" w:eastAsia="楷体_GB2312" w:cs="楷体"/>
          <w:bCs/>
          <w:szCs w:val="32"/>
        </w:rPr>
        <w:t>（二）提升地震灾害风险防治能力</w:t>
      </w:r>
      <w:bookmarkEnd w:id="13"/>
      <w:r>
        <w:rPr>
          <w:rFonts w:hint="eastAsia" w:ascii="楷体_GB2312" w:hAnsi="楷体" w:eastAsia="楷体_GB2312" w:cs="楷体"/>
          <w:bCs/>
          <w:szCs w:val="32"/>
        </w:rPr>
        <w:t>。</w:t>
      </w:r>
    </w:p>
    <w:p>
      <w:pPr>
        <w:spacing w:line="560" w:lineRule="exact"/>
        <w:ind w:firstLine="628" w:firstLineChars="200"/>
        <w:rPr>
          <w:rFonts w:ascii="仿宋_GB2312" w:hAnsi="仿宋_GB2312" w:cs="仿宋_GB2312"/>
          <w:szCs w:val="32"/>
        </w:rPr>
      </w:pPr>
      <w:bookmarkStart w:id="14" w:name="_Hlk50019088"/>
      <w:r>
        <w:rPr>
          <w:rFonts w:hint="eastAsia" w:ascii="仿宋_GB2312"/>
          <w:b/>
          <w:bCs/>
          <w:kern w:val="0"/>
          <w:szCs w:val="32"/>
        </w:rPr>
        <w:t>摸清风险底数。</w:t>
      </w:r>
      <w:r>
        <w:rPr>
          <w:rFonts w:hint="eastAsia" w:ascii="仿宋_GB2312"/>
          <w:kern w:val="0"/>
          <w:szCs w:val="32"/>
        </w:rPr>
        <w:t>继续推进</w:t>
      </w:r>
      <w:r>
        <w:rPr>
          <w:rFonts w:hint="eastAsia" w:ascii="仿宋_GB2312"/>
          <w:szCs w:val="32"/>
        </w:rPr>
        <w:t>全国地震灾害风险调查和重点隐患排查，</w:t>
      </w:r>
      <w:r>
        <w:rPr>
          <w:rFonts w:hint="eastAsia" w:ascii="仿宋_GB2312" w:hAnsi="黑体"/>
          <w:szCs w:val="32"/>
        </w:rPr>
        <w:t>查清地震灾害危险源与风险源，</w:t>
      </w:r>
      <w:r>
        <w:rPr>
          <w:rFonts w:hint="eastAsia" w:ascii="仿宋_GB2312"/>
          <w:szCs w:val="32"/>
        </w:rPr>
        <w:t>掌握地震灾害风险底数，形成地震灾害风险数据库并建立常态化更新机制。加强地震构造环境精细探测，夯实地震活动断层探测、风险隐患调查、灾害隐患监测，以及灾害风险预警、评估、区划等地震灾害风险防治基础业务，</w:t>
      </w:r>
      <w:r>
        <w:rPr>
          <w:rFonts w:hint="eastAsia" w:ascii="仿宋_GB2312" w:hAnsi="黑体"/>
          <w:szCs w:val="32"/>
        </w:rPr>
        <w:t>建设国家地震灾害风险防治业务平台。建立完善国家、省地震区划分级管理机制，构建相应的地震区划业务体系，编制</w:t>
      </w:r>
      <w:r>
        <w:rPr>
          <w:rFonts w:hint="eastAsia" w:ascii="仿宋_GB2312" w:hAnsi="仿宋_GB2312" w:cs="仿宋_GB2312"/>
          <w:szCs w:val="32"/>
        </w:rPr>
        <w:t>新一代地震区划图。</w:t>
      </w:r>
    </w:p>
    <w:bookmarkEnd w:id="14"/>
    <w:p>
      <w:pPr>
        <w:spacing w:line="560" w:lineRule="exact"/>
        <w:ind w:firstLine="628" w:firstLineChars="200"/>
        <w:rPr>
          <w:bCs/>
        </w:rPr>
      </w:pPr>
      <w:bookmarkStart w:id="15" w:name="_Hlk50019272"/>
      <w:r>
        <w:rPr>
          <w:rFonts w:hint="eastAsia" w:ascii="仿宋_GB2312"/>
          <w:b/>
          <w:bCs/>
          <w:kern w:val="0"/>
          <w:szCs w:val="32"/>
        </w:rPr>
        <w:t>强化抗震设防。</w:t>
      </w:r>
      <w:r>
        <w:rPr>
          <w:rFonts w:hint="eastAsia" w:ascii="仿宋_GB2312" w:hAnsi="仿宋_GB2312" w:cs="仿宋_GB2312"/>
          <w:szCs w:val="32"/>
        </w:rPr>
        <w:t>深化地震安全性评价“放管服”改革，依法加强抗震设防要求管理，加强事中事后监管，构建建设单位、地方政府、行业部门和地震部门全链条监管体系。推动提升地震灾害防御工程标准和重点基础设施设防标准。针对重大工程、各类开发区工业园区房屋建筑和城市基础设施、一般建设工程、学校医院等人员密集场所等，形成差别化的抗震设防要求制度体系。继续协调推进地震易发区房屋设施加固工程</w:t>
      </w:r>
      <w:r>
        <w:rPr>
          <w:rFonts w:hint="eastAsia"/>
          <w:bCs/>
        </w:rPr>
        <w:t>，</w:t>
      </w:r>
      <w:r>
        <w:rPr>
          <w:rFonts w:hint="eastAsia" w:ascii="仿宋_GB2312" w:hAnsi="仿宋_GB2312" w:cs="仿宋_GB2312"/>
          <w:szCs w:val="32"/>
        </w:rPr>
        <w:t>协同推进</w:t>
      </w:r>
      <w:r>
        <w:rPr>
          <w:rFonts w:hint="eastAsia"/>
          <w:bCs/>
        </w:rPr>
        <w:t>农村危房改造和地震高烈度设防地区农房抗震改造，强化</w:t>
      </w:r>
      <w:r>
        <w:rPr>
          <w:rFonts w:hint="eastAsia" w:ascii="仿宋_GB2312" w:hAnsi="仿宋_GB2312" w:cs="仿宋_GB2312"/>
          <w:szCs w:val="32"/>
        </w:rPr>
        <w:t>农村民居抗震设防服务和指导</w:t>
      </w:r>
      <w:r>
        <w:rPr>
          <w:rFonts w:hint="eastAsia"/>
          <w:bCs/>
        </w:rPr>
        <w:t>。加强雄安新区、川藏铁路等国家重大战略和重大工程地震安全技术保障。推进全国综合减灾示范社区建设。完善应急避难场所规划布局，推进应急避难场所建设。推进</w:t>
      </w:r>
      <w:r>
        <w:rPr>
          <w:rFonts w:hint="eastAsia" w:ascii="仿宋_GB2312" w:hAnsi="仿宋_GB2312" w:cs="仿宋_GB2312"/>
          <w:szCs w:val="32"/>
        </w:rPr>
        <w:t>提升通信、交通、供水供电等生命线工程防震抗震能力。推动重大工程建立地震安全监测和健康诊断系统，推广减隔震等抗震新技术应用。</w:t>
      </w:r>
    </w:p>
    <w:p>
      <w:pPr>
        <w:spacing w:line="560" w:lineRule="exact"/>
        <w:ind w:firstLine="628" w:firstLineChars="200"/>
        <w:rPr>
          <w:rFonts w:ascii="仿宋_GB2312" w:hAnsi="黑体"/>
          <w:szCs w:val="32"/>
        </w:rPr>
      </w:pPr>
      <w:r>
        <w:rPr>
          <w:rFonts w:hint="eastAsia" w:ascii="仿宋_GB2312" w:hAnsi="黑体"/>
          <w:b/>
          <w:bCs/>
          <w:szCs w:val="32"/>
        </w:rPr>
        <w:t>增强城市韧性。</w:t>
      </w:r>
      <w:r>
        <w:rPr>
          <w:rFonts w:hint="eastAsia" w:ascii="仿宋_GB2312" w:hAnsi="黑体"/>
          <w:szCs w:val="32"/>
        </w:rPr>
        <w:t>推动</w:t>
      </w:r>
      <w:r>
        <w:rPr>
          <w:rFonts w:hint="eastAsia" w:ascii="仿宋_GB2312" w:hAnsi="仿宋_GB2312" w:cs="仿宋_GB2312"/>
          <w:szCs w:val="32"/>
        </w:rPr>
        <w:t>国土地震区划纳入国土空间规划。推动</w:t>
      </w:r>
      <w:r>
        <w:rPr>
          <w:rFonts w:hint="eastAsia" w:ascii="仿宋_GB2312" w:hAnsi="黑体"/>
          <w:szCs w:val="32"/>
        </w:rPr>
        <w:t>建设</w:t>
      </w:r>
      <w:r>
        <w:rPr>
          <w:rFonts w:hint="eastAsia" w:ascii="仿宋_GB2312" w:hAnsi="仿宋_GB2312" w:cs="仿宋_GB2312"/>
          <w:szCs w:val="32"/>
        </w:rPr>
        <w:t>特大城市和城市群</w:t>
      </w:r>
      <w:r>
        <w:rPr>
          <w:rFonts w:hint="eastAsia" w:ascii="仿宋_GB2312" w:hAnsi="黑体"/>
          <w:szCs w:val="32"/>
        </w:rPr>
        <w:t>地震灾害危险源监测系统和重大风险源健康诊断与风险预警技术系统，加强</w:t>
      </w:r>
      <w:r>
        <w:rPr>
          <w:rFonts w:hint="eastAsia" w:ascii="仿宋_GB2312"/>
          <w:szCs w:val="32"/>
        </w:rPr>
        <w:t>重点地区与城市活动断层探测,</w:t>
      </w:r>
      <w:r>
        <w:rPr>
          <w:rFonts w:hint="eastAsia" w:ascii="仿宋_GB2312" w:hAnsi="黑体"/>
          <w:szCs w:val="32"/>
        </w:rPr>
        <w:t>评估不同地震作用下的灾害风险，推动特大城市和城市群地震灾害风险精准治理。推动城市重要建筑、基础设施系统及社区抗震韧性评价及加固改造。建立京津冀地区地震灾害防范联防联控机制。开展京津冀地区大震灾害情景构建，为国土空间规划、城市韧性建设、应急救援准备、大震巨灾应对等提供决策信息。依托智慧城市建设地震灾害风险信息系统，面向政府、行业、企业、公众开展精准地震灾害风险信息服务。推动构建权责清晰、管理有序、规范科学、多元共治的城市地震灾害风险防治责任体系。</w:t>
      </w:r>
    </w:p>
    <w:bookmarkEnd w:id="15"/>
    <w:p>
      <w:pPr>
        <w:spacing w:line="570" w:lineRule="exact"/>
        <w:ind w:firstLine="628" w:firstLineChars="200"/>
        <w:outlineLvl w:val="1"/>
        <w:rPr>
          <w:rFonts w:ascii="楷体_GB2312" w:hAnsi="楷体" w:eastAsia="楷体_GB2312" w:cs="楷体"/>
          <w:bCs/>
          <w:szCs w:val="32"/>
        </w:rPr>
      </w:pPr>
      <w:bookmarkStart w:id="16" w:name="_Toc66957163"/>
      <w:bookmarkStart w:id="17" w:name="_Toc33021439"/>
      <w:r>
        <w:rPr>
          <w:rFonts w:hint="eastAsia" w:ascii="楷体_GB2312" w:hAnsi="楷体" w:eastAsia="楷体_GB2312" w:cs="楷体"/>
          <w:bCs/>
          <w:szCs w:val="32"/>
        </w:rPr>
        <w:t>（三）提升地震应急救援能力</w:t>
      </w:r>
      <w:bookmarkEnd w:id="16"/>
      <w:r>
        <w:rPr>
          <w:rFonts w:hint="eastAsia" w:ascii="楷体_GB2312" w:hAnsi="楷体" w:eastAsia="楷体_GB2312" w:cs="楷体"/>
          <w:bCs/>
          <w:szCs w:val="32"/>
        </w:rPr>
        <w:t>。</w:t>
      </w:r>
    </w:p>
    <w:p>
      <w:pPr>
        <w:spacing w:line="560" w:lineRule="exact"/>
        <w:ind w:firstLine="628" w:firstLineChars="200"/>
        <w:rPr>
          <w:rFonts w:ascii="仿宋_GB2312"/>
          <w:b/>
          <w:bCs/>
          <w:kern w:val="0"/>
          <w:szCs w:val="32"/>
        </w:rPr>
      </w:pPr>
      <w:r>
        <w:rPr>
          <w:rFonts w:hint="eastAsia" w:ascii="仿宋_GB2312" w:hAnsi="楷体" w:cs="楷体"/>
          <w:b/>
          <w:szCs w:val="32"/>
        </w:rPr>
        <w:t>完善体系建设</w:t>
      </w:r>
      <w:r>
        <w:rPr>
          <w:rFonts w:hint="eastAsia" w:ascii="仿宋_GB2312"/>
          <w:b/>
          <w:bCs/>
          <w:szCs w:val="32"/>
        </w:rPr>
        <w:t>。</w:t>
      </w:r>
      <w:r>
        <w:rPr>
          <w:rFonts w:hint="eastAsia" w:ascii="仿宋_GB2312"/>
          <w:szCs w:val="32"/>
        </w:rPr>
        <w:t>提高防大震救大灾应急能力，</w:t>
      </w:r>
      <w:r>
        <w:rPr>
          <w:rFonts w:hint="eastAsia" w:ascii="仿宋_GB2312"/>
          <w:kern w:val="0"/>
          <w:szCs w:val="32"/>
        </w:rPr>
        <w:t>健全全国地震应急预案体系，</w:t>
      </w:r>
      <w:r>
        <w:rPr>
          <w:rFonts w:hint="eastAsia" w:ascii="仿宋_GB2312"/>
          <w:szCs w:val="32"/>
        </w:rPr>
        <w:t>完善统一指挥、响应迅速的应急指挥体系，进一步理顺抗震救灾指挥机制，提</w:t>
      </w:r>
      <w:r>
        <w:rPr>
          <w:rFonts w:hint="eastAsia" w:ascii="仿宋_GB2312"/>
          <w:kern w:val="0"/>
          <w:szCs w:val="32"/>
        </w:rPr>
        <w:t>升各级抗震救灾指挥部指挥协调能力。</w:t>
      </w:r>
      <w:r>
        <w:rPr>
          <w:rFonts w:hint="eastAsia" w:ascii="仿宋_GB2312"/>
        </w:rPr>
        <w:t>实施地震应急救援装备现代化工程，</w:t>
      </w:r>
      <w:r>
        <w:rPr>
          <w:rFonts w:hint="eastAsia" w:ascii="仿宋_GB2312"/>
          <w:kern w:val="0"/>
          <w:szCs w:val="32"/>
        </w:rPr>
        <w:t>推进大震巨灾等极端条件下空天地一体化应急通信体系建设，强化特大城市和城市群地震应急救援能力。加强地震灾害紧急救援训练基地建设与升级改造，提升地震应急救援培训能力</w:t>
      </w:r>
      <w:r>
        <w:rPr>
          <w:rFonts w:hint="eastAsia" w:ascii="仿宋_GB2312" w:hAnsi="楷体" w:cs="楷体"/>
          <w:szCs w:val="32"/>
        </w:rPr>
        <w:t>。</w:t>
      </w:r>
      <w:r>
        <w:rPr>
          <w:rFonts w:hint="eastAsia" w:ascii="仿宋_GB2312"/>
          <w:kern w:val="0"/>
          <w:szCs w:val="32"/>
        </w:rPr>
        <w:t>推进地震专业救援队伍标准化建设，开展救援队伍能力分级测评，提升四川、云南、西藏、新疆等地震易发高发区区域地震灾害救援能力。加强规范和引导社会应急力量参与地震救援。</w:t>
      </w:r>
    </w:p>
    <w:p>
      <w:pPr>
        <w:spacing w:line="560" w:lineRule="exact"/>
        <w:ind w:firstLine="628" w:firstLineChars="200"/>
        <w:rPr>
          <w:rFonts w:ascii="仿宋_GB2312"/>
          <w:kern w:val="0"/>
          <w:szCs w:val="32"/>
        </w:rPr>
      </w:pPr>
      <w:r>
        <w:rPr>
          <w:rFonts w:hint="eastAsia" w:ascii="仿宋_GB2312"/>
          <w:b/>
          <w:bCs/>
          <w:szCs w:val="32"/>
        </w:rPr>
        <w:t>保障应急响应。</w:t>
      </w:r>
      <w:r>
        <w:rPr>
          <w:rFonts w:hint="eastAsia" w:ascii="仿宋_GB2312"/>
          <w:kern w:val="0"/>
          <w:szCs w:val="32"/>
        </w:rPr>
        <w:t>制定重特大地震应对方案，强化重点危险区监视与重特大地震应对准备。构建地震应急信息服务统一平台，</w:t>
      </w:r>
      <w:r>
        <w:rPr>
          <w:rFonts w:hint="eastAsia" w:ascii="仿宋_GB2312" w:hAnsi="仿宋_GB2312" w:cs="仿宋_GB2312"/>
        </w:rPr>
        <w:t>将地震应急响应辅助决策信息和应急处置流程等可视化呈现</w:t>
      </w:r>
      <w:r>
        <w:rPr>
          <w:rFonts w:hint="eastAsia" w:ascii="仿宋_GB2312"/>
          <w:kern w:val="0"/>
          <w:szCs w:val="32"/>
        </w:rPr>
        <w:t>。</w:t>
      </w:r>
      <w:r>
        <w:rPr>
          <w:rFonts w:hint="eastAsia" w:ascii="仿宋_GB2312"/>
          <w:szCs w:val="32"/>
        </w:rPr>
        <w:t>加强余震监测和震后趋势研判，防范次生衍生灾害。开展年度地震重点危险区、重点省份地震灾害损失预评</w:t>
      </w:r>
      <w:r>
        <w:rPr>
          <w:rFonts w:hint="eastAsia" w:ascii="仿宋_GB2312" w:hAnsi="楷体" w:cs="楷体"/>
          <w:bCs/>
          <w:szCs w:val="32"/>
        </w:rPr>
        <w:t>估，完善地震应急救援和灾后重建技术支撑。</w:t>
      </w:r>
      <w:r>
        <w:rPr>
          <w:rFonts w:hint="eastAsia" w:ascii="仿宋_GB2312"/>
          <w:szCs w:val="32"/>
        </w:rPr>
        <w:t>组织开展地震灾害快速评估，完善震情灾情紧急快报工作机制，</w:t>
      </w:r>
      <w:r>
        <w:rPr>
          <w:rFonts w:hint="eastAsia" w:ascii="仿宋_GB2312"/>
          <w:kern w:val="0"/>
          <w:szCs w:val="32"/>
        </w:rPr>
        <w:t>快速提供灾情速报、趋势判定和灾情实时动态信息。规范地震现场应急处置工作，推进地震现场应急队伍标准化建设。组织开展地震灾害现场调查和烈度评定。组织开展地震应急科学考察。强化大震应急物资储备能力。</w:t>
      </w:r>
    </w:p>
    <w:p>
      <w:pPr>
        <w:spacing w:line="570" w:lineRule="exact"/>
        <w:ind w:firstLine="628" w:firstLineChars="200"/>
        <w:outlineLvl w:val="1"/>
        <w:rPr>
          <w:rFonts w:ascii="楷体_GB2312" w:hAnsi="楷体" w:eastAsia="楷体_GB2312" w:cs="楷体"/>
          <w:bCs/>
          <w:szCs w:val="32"/>
        </w:rPr>
      </w:pPr>
      <w:bookmarkStart w:id="18" w:name="_Toc66957164"/>
      <w:r>
        <w:rPr>
          <w:rFonts w:hint="eastAsia" w:ascii="楷体_GB2312" w:hAnsi="楷体" w:eastAsia="楷体_GB2312" w:cs="楷体"/>
          <w:bCs/>
          <w:szCs w:val="32"/>
        </w:rPr>
        <w:t>（四）提升防震减灾公共服务能力</w:t>
      </w:r>
      <w:bookmarkEnd w:id="18"/>
      <w:r>
        <w:rPr>
          <w:rFonts w:hint="eastAsia" w:ascii="楷体_GB2312" w:hAnsi="楷体" w:eastAsia="楷体_GB2312" w:cs="楷体"/>
          <w:bCs/>
          <w:szCs w:val="32"/>
        </w:rPr>
        <w:t>。</w:t>
      </w:r>
    </w:p>
    <w:p>
      <w:pPr>
        <w:spacing w:line="560" w:lineRule="exact"/>
        <w:ind w:firstLine="628" w:firstLineChars="200"/>
        <w:rPr>
          <w:rFonts w:ascii="仿宋_GB2312"/>
          <w:szCs w:val="32"/>
        </w:rPr>
      </w:pPr>
      <w:r>
        <w:rPr>
          <w:rFonts w:hint="eastAsia" w:ascii="仿宋_GB2312"/>
          <w:b/>
          <w:bCs/>
          <w:szCs w:val="32"/>
        </w:rPr>
        <w:t>构建服务框架。</w:t>
      </w:r>
      <w:r>
        <w:rPr>
          <w:rFonts w:hint="eastAsia" w:ascii="仿宋_GB2312"/>
          <w:szCs w:val="32"/>
        </w:rPr>
        <w:t>形成防震减灾决策服务、公众服务、专业服务和专项服务体系。面向政府地震应急管理，提供震前防御、震时响应和震后救灾与恢复重建的决策服务。面向社会公众，拓展地震速报、预警信息、防震减灾科普宣传等公众服务。面向高铁、桥梁、大坝、核电等重点行业和国防建设，强化监测预警、结构健康诊断和地震安全性评价等专业服务。面向国家重大战略和重要活动，强化地震安全保障等专项服务。</w:t>
      </w:r>
    </w:p>
    <w:p>
      <w:pPr>
        <w:spacing w:line="560" w:lineRule="exact"/>
        <w:ind w:firstLine="628" w:firstLineChars="200"/>
        <w:rPr>
          <w:rFonts w:ascii="仿宋_GB2312"/>
          <w:szCs w:val="32"/>
        </w:rPr>
      </w:pPr>
      <w:r>
        <w:rPr>
          <w:rFonts w:hint="eastAsia" w:ascii="仿宋_GB2312"/>
          <w:b/>
          <w:bCs/>
          <w:szCs w:val="32"/>
        </w:rPr>
        <w:t>增强服务供给。</w:t>
      </w:r>
      <w:r>
        <w:rPr>
          <w:rFonts w:hint="eastAsia" w:ascii="仿宋_GB2312"/>
          <w:szCs w:val="32"/>
        </w:rPr>
        <w:t>制定公共服务事项清单、产品清单，实施动态管理。深化公共服务业务和科技支撑，提升地震数据精准度，推进服务产品规划、设计和研制。建设公共服务平台，整合地震数据资源和公共服务产品，统一服务窗口。创新公共服务工作机制，深化部门合作，激发社会力量活力，培育市场，推动多元供给，力争实现智慧服务，促进防震减灾相关产业发展。</w:t>
      </w:r>
    </w:p>
    <w:p>
      <w:pPr>
        <w:spacing w:line="570" w:lineRule="exact"/>
        <w:ind w:firstLine="628" w:firstLineChars="200"/>
        <w:outlineLvl w:val="1"/>
        <w:rPr>
          <w:rFonts w:ascii="楷体_GB2312" w:hAnsi="楷体" w:eastAsia="楷体_GB2312" w:cs="楷体"/>
          <w:bCs/>
          <w:szCs w:val="32"/>
        </w:rPr>
      </w:pPr>
      <w:bookmarkStart w:id="19" w:name="_Toc66957165"/>
      <w:r>
        <w:rPr>
          <w:rFonts w:hint="eastAsia" w:ascii="楷体_GB2312" w:hAnsi="楷体" w:eastAsia="楷体_GB2312" w:cs="楷体"/>
          <w:bCs/>
          <w:szCs w:val="32"/>
        </w:rPr>
        <w:t>（五）加强地震科技支撑</w:t>
      </w:r>
      <w:bookmarkEnd w:id="19"/>
      <w:r>
        <w:rPr>
          <w:rFonts w:hint="eastAsia" w:ascii="楷体_GB2312" w:hAnsi="楷体" w:eastAsia="楷体_GB2312" w:cs="楷体"/>
          <w:bCs/>
          <w:szCs w:val="32"/>
        </w:rPr>
        <w:t>。</w:t>
      </w:r>
    </w:p>
    <w:p>
      <w:pPr>
        <w:spacing w:line="560" w:lineRule="exact"/>
        <w:ind w:firstLine="628" w:firstLineChars="200"/>
        <w:rPr>
          <w:rFonts w:ascii="仿宋_GB2312"/>
          <w:kern w:val="0"/>
          <w:szCs w:val="32"/>
        </w:rPr>
      </w:pPr>
      <w:r>
        <w:rPr>
          <w:rFonts w:hint="eastAsia" w:ascii="仿宋_GB2312"/>
          <w:b/>
          <w:bCs/>
          <w:szCs w:val="32"/>
        </w:rPr>
        <w:t>强化科技攻关。</w:t>
      </w:r>
      <w:r>
        <w:rPr>
          <w:rFonts w:hint="eastAsia" w:ascii="仿宋_GB2312" w:hAnsi="仿宋_GB2312" w:cs="仿宋_GB2312"/>
          <w:bCs/>
          <w:szCs w:val="32"/>
        </w:rPr>
        <w:t>坚持科技创新在现代化建设全局中的核心地位，继续实施地震科技创新工程，强化地震基础理论探索</w:t>
      </w:r>
      <w:r>
        <w:rPr>
          <w:rFonts w:hint="eastAsia" w:ascii="仿宋_GB2312"/>
          <w:szCs w:val="32"/>
        </w:rPr>
        <w:t>，开展重要地震带孕震机理研究，开展相关物理模型和新技术新方法研究。加强原创性、引领性科技攻关，开展大地震孕育发生过程监测与预测预报关键技术及装备研发。重组地震动力学国家重点实验室，建强国家级野外科学观测站。健全中国地震局重点实验室、技术创新中心、野外科学观测站体系。加强区域研究所建设，开展火山、海洋等有区域特色的地震科学研究。</w:t>
      </w:r>
    </w:p>
    <w:p>
      <w:pPr>
        <w:spacing w:line="560" w:lineRule="exact"/>
        <w:ind w:firstLine="628" w:firstLineChars="200"/>
        <w:rPr>
          <w:rFonts w:ascii="仿宋_GB2312"/>
          <w:szCs w:val="32"/>
        </w:rPr>
      </w:pPr>
      <w:r>
        <w:rPr>
          <w:rFonts w:hint="eastAsia" w:ascii="仿宋_GB2312"/>
          <w:b/>
          <w:bCs/>
          <w:szCs w:val="32"/>
        </w:rPr>
        <w:t>完善体制机制。</w:t>
      </w:r>
      <w:r>
        <w:rPr>
          <w:rFonts w:hint="eastAsia" w:ascii="仿宋_GB2312"/>
          <w:szCs w:val="32"/>
        </w:rPr>
        <w:t>加快推进地震科技体制改革，完善地震业务中心、省级地震局和科研院所“前店后厂”的工作格局，突出创新导向、结果导向和实绩导向，建立高效运行管理机制。完善科技成果评价机制，更加突出对防震减灾现代化的实际贡献和成果的原创性。深化与部门、地方、高校、科研院所和企业等合作，推动科技创新资源共建共享。加强创新团队建设，持续实施地震人才工程，大力弘扬科学家精神，</w:t>
      </w:r>
      <w:r>
        <w:rPr>
          <w:rFonts w:hint="eastAsia" w:ascii="仿宋_GB2312" w:hAnsi="仿宋_GB2312" w:cs="仿宋_GB2312"/>
          <w:szCs w:val="32"/>
        </w:rPr>
        <w:t>坚持“破四唯”“立新标”并举，建立以创新价值、能力、贡献为导向的科技人才评价体系，</w:t>
      </w:r>
      <w:r>
        <w:rPr>
          <w:rFonts w:hint="eastAsia" w:ascii="仿宋_GB2312"/>
          <w:szCs w:val="32"/>
        </w:rPr>
        <w:t>激发创新活力。</w:t>
      </w:r>
    </w:p>
    <w:p>
      <w:pPr>
        <w:spacing w:line="560" w:lineRule="exact"/>
        <w:ind w:firstLine="628" w:firstLineChars="200"/>
        <w:rPr>
          <w:rFonts w:ascii="仿宋_GB2312"/>
          <w:szCs w:val="32"/>
        </w:rPr>
      </w:pPr>
      <w:r>
        <w:rPr>
          <w:rFonts w:hint="eastAsia" w:ascii="仿宋_GB2312"/>
          <w:b/>
          <w:bCs/>
          <w:szCs w:val="32"/>
        </w:rPr>
        <w:t>深化国际合作。</w:t>
      </w:r>
      <w:r>
        <w:rPr>
          <w:rFonts w:hint="eastAsia" w:ascii="仿宋_GB2312" w:hAnsi="等线"/>
          <w:szCs w:val="32"/>
        </w:rPr>
        <w:t>坚持共商共建共享，</w:t>
      </w:r>
      <w:r>
        <w:rPr>
          <w:rFonts w:hint="eastAsia" w:ascii="仿宋_GB2312" w:hAnsi="仿宋_GB2312" w:cs="仿宋_GB2312"/>
          <w:szCs w:val="32"/>
        </w:rPr>
        <w:t>积极融入全球创新网络，</w:t>
      </w:r>
      <w:r>
        <w:rPr>
          <w:rFonts w:hint="eastAsia" w:ascii="仿宋_GB2312" w:hAnsi="等线"/>
          <w:szCs w:val="32"/>
        </w:rPr>
        <w:t>实施更大范围、更宽领域、更深层次对外开放。</w:t>
      </w:r>
      <w:r>
        <w:rPr>
          <w:rFonts w:hint="eastAsia" w:ascii="仿宋_GB2312"/>
          <w:szCs w:val="32"/>
        </w:rPr>
        <w:t>构建“一带一路”多层次防震减灾合作机制，强化“一带一路”地震观测台网建设、地震灾害风险防治、地震科学基础研究、技术和标准示范应用合作。广泛宣传我国防震减灾成就和经验，积极参与防震减灾国际合作和全球科技治理，参与和组织国际大科学计划。巩固并深化双多边合作，夯实合作机制，联合开展重大国际科技合作项目。</w:t>
      </w:r>
    </w:p>
    <w:p>
      <w:pPr>
        <w:spacing w:line="570" w:lineRule="exact"/>
        <w:ind w:firstLine="628" w:firstLineChars="200"/>
        <w:outlineLvl w:val="1"/>
        <w:rPr>
          <w:rFonts w:ascii="楷体_GB2312" w:hAnsi="楷体" w:eastAsia="楷体_GB2312" w:cs="楷体"/>
          <w:bCs/>
          <w:szCs w:val="32"/>
        </w:rPr>
      </w:pPr>
      <w:bookmarkStart w:id="20" w:name="_Toc33021440"/>
      <w:bookmarkStart w:id="21" w:name="_Toc66957166"/>
      <w:r>
        <w:rPr>
          <w:rFonts w:hint="eastAsia" w:ascii="楷体_GB2312" w:hAnsi="楷体" w:eastAsia="楷体_GB2312" w:cs="楷体"/>
          <w:bCs/>
          <w:szCs w:val="32"/>
        </w:rPr>
        <w:t>（六</w:t>
      </w:r>
      <w:bookmarkEnd w:id="20"/>
      <w:r>
        <w:rPr>
          <w:rFonts w:hint="eastAsia" w:ascii="楷体_GB2312" w:hAnsi="楷体" w:eastAsia="楷体_GB2312" w:cs="楷体"/>
          <w:bCs/>
          <w:szCs w:val="32"/>
        </w:rPr>
        <w:t>）加强数字技术赋能</w:t>
      </w:r>
      <w:bookmarkEnd w:id="21"/>
      <w:r>
        <w:rPr>
          <w:rFonts w:hint="eastAsia" w:ascii="楷体_GB2312" w:hAnsi="楷体" w:eastAsia="楷体_GB2312" w:cs="楷体"/>
          <w:bCs/>
          <w:szCs w:val="32"/>
        </w:rPr>
        <w:t>。</w:t>
      </w:r>
    </w:p>
    <w:p>
      <w:pPr>
        <w:spacing w:line="560" w:lineRule="exact"/>
        <w:ind w:firstLine="628" w:firstLineChars="200"/>
        <w:rPr>
          <w:rFonts w:ascii="仿宋_GB2312"/>
          <w:kern w:val="0"/>
          <w:szCs w:val="32"/>
        </w:rPr>
      </w:pPr>
      <w:r>
        <w:rPr>
          <w:rFonts w:hint="eastAsia" w:ascii="仿宋_GB2312"/>
          <w:kern w:val="0"/>
          <w:szCs w:val="32"/>
        </w:rPr>
        <w:t>强化数字技术在地震监测预报预警、地震灾害风险防治、防震减灾公共服务等领域应用，助力智慧防震减灾。依托应急管理大数据应用平台，推进地震信息资源整合与共享，提升地震信息化基础支撑能力，实现数字技术与地震业务的深度融合和创新发展。利用国家应急管理信息资源，构建国家级综合地震灾害风险基础数据中心。基于应急管理云平台，构建云架构下统一的地震数据环境，建立地震数据治理体系，完善各类地震数据流，加强数据质量控制，保障</w:t>
      </w:r>
      <w:r>
        <w:rPr>
          <w:rFonts w:hint="eastAsia" w:ascii="仿宋_GB2312" w:hAnsi="等线"/>
          <w:szCs w:val="32"/>
        </w:rPr>
        <w:t>数据安全，</w:t>
      </w:r>
      <w:r>
        <w:rPr>
          <w:rFonts w:hint="eastAsia" w:ascii="仿宋_GB2312"/>
          <w:kern w:val="0"/>
          <w:szCs w:val="32"/>
        </w:rPr>
        <w:t>实现地震数据治理科学化。</w:t>
      </w:r>
      <w:r>
        <w:rPr>
          <w:rFonts w:hint="eastAsia" w:ascii="仿宋_GB2312" w:hAnsi="等线"/>
          <w:szCs w:val="32"/>
        </w:rPr>
        <w:t>加强网络安全防护体系和能力建设，</w:t>
      </w:r>
      <w:r>
        <w:rPr>
          <w:rFonts w:hint="eastAsia" w:ascii="仿宋_GB2312"/>
          <w:kern w:val="0"/>
          <w:szCs w:val="32"/>
        </w:rPr>
        <w:t>加快地震业务系统更新换代，确保各类信息系统等级保护合规。建立数字地震档案馆。</w:t>
      </w:r>
      <w:bookmarkStart w:id="22" w:name="_Toc66957167"/>
    </w:p>
    <w:p>
      <w:pPr>
        <w:spacing w:line="570" w:lineRule="exact"/>
        <w:ind w:firstLine="628" w:firstLineChars="200"/>
        <w:outlineLvl w:val="1"/>
        <w:rPr>
          <w:rFonts w:ascii="楷体_GB2312" w:hAnsi="楷体" w:eastAsia="楷体_GB2312" w:cs="楷体"/>
          <w:bCs/>
          <w:szCs w:val="32"/>
        </w:rPr>
      </w:pPr>
      <w:r>
        <w:rPr>
          <w:rFonts w:hint="eastAsia" w:ascii="楷体_GB2312" w:hAnsi="楷体" w:eastAsia="楷体_GB2312" w:cs="楷体"/>
          <w:bCs/>
          <w:szCs w:val="32"/>
        </w:rPr>
        <w:t>（七）加强防震减灾科普宣传</w:t>
      </w:r>
      <w:bookmarkEnd w:id="22"/>
      <w:r>
        <w:rPr>
          <w:rFonts w:hint="eastAsia" w:ascii="楷体_GB2312" w:hAnsi="楷体" w:eastAsia="楷体_GB2312" w:cs="楷体"/>
          <w:bCs/>
          <w:szCs w:val="32"/>
        </w:rPr>
        <w:t>。</w:t>
      </w:r>
    </w:p>
    <w:p>
      <w:pPr>
        <w:spacing w:line="560" w:lineRule="exact"/>
        <w:ind w:firstLine="628" w:firstLineChars="200"/>
        <w:rPr>
          <w:rFonts w:ascii="仿宋_GB2312"/>
          <w:szCs w:val="32"/>
        </w:rPr>
      </w:pPr>
      <w:r>
        <w:rPr>
          <w:rFonts w:hint="eastAsia" w:ascii="仿宋_GB2312"/>
          <w:szCs w:val="32"/>
        </w:rPr>
        <w:t>做好全国防灾减灾日等重点时段的科普宣传，推进防震减灾科普宣传进学校、进机关、进企事业单位、进社区、进农村、进家庭，普及防震减灾知识，提升公众防震减灾科学素养和应急避险、自救互救技能。繁荣科普创作，联合社会各界力量共同研发推广科普精品。强化科普阵地建设，推进防震减灾科普纳入地方综合科普场馆建设。整合全国资源，建设融媒体中心，利用新媒体传播优势，推进科普品牌体系建设，扩大社会影响力。推动防震减灾科普产业化发展。</w:t>
      </w:r>
    </w:p>
    <w:p>
      <w:pPr>
        <w:spacing w:line="570" w:lineRule="exact"/>
        <w:ind w:firstLine="628" w:firstLineChars="200"/>
        <w:outlineLvl w:val="1"/>
        <w:rPr>
          <w:rFonts w:ascii="楷体_GB2312" w:hAnsi="楷体" w:eastAsia="楷体_GB2312" w:cs="楷体"/>
          <w:bCs/>
          <w:szCs w:val="32"/>
        </w:rPr>
      </w:pPr>
      <w:bookmarkStart w:id="23" w:name="_Toc66957168"/>
      <w:r>
        <w:rPr>
          <w:rFonts w:hint="eastAsia" w:ascii="楷体_GB2312" w:hAnsi="楷体" w:eastAsia="楷体_GB2312" w:cs="楷体"/>
          <w:bCs/>
          <w:szCs w:val="32"/>
        </w:rPr>
        <w:t>（八）加强防震减灾法治建设</w:t>
      </w:r>
      <w:bookmarkEnd w:id="23"/>
      <w:r>
        <w:rPr>
          <w:rFonts w:hint="eastAsia" w:ascii="楷体_GB2312" w:hAnsi="楷体" w:eastAsia="楷体_GB2312" w:cs="楷体"/>
          <w:bCs/>
          <w:szCs w:val="32"/>
        </w:rPr>
        <w:t>。</w:t>
      </w:r>
    </w:p>
    <w:p>
      <w:pPr>
        <w:spacing w:line="560" w:lineRule="exact"/>
        <w:ind w:firstLine="628" w:firstLineChars="200"/>
        <w:rPr>
          <w:rFonts w:ascii="仿宋_GB2312"/>
          <w:szCs w:val="32"/>
        </w:rPr>
      </w:pPr>
      <w:r>
        <w:rPr>
          <w:rFonts w:hint="eastAsia" w:ascii="仿宋_GB2312"/>
          <w:szCs w:val="32"/>
        </w:rPr>
        <w:t>健全完善防震减灾法律法规体系，研究推动防震减灾法、地震安全性评价管理条例等法律法规修订，完善地震预警管理、建设工程抗震设防要求监管、地震灾害风险隐患排查等法律制度。制修订防震减灾业务和服务标准。深化地震行政执法改革，融入应急管理综合行政执法体系，推动执法力量向市县下沉，完善执法制度和标准，开展执法培训，规范执法程序，统一执法制服、标志、装备等。推行“互联网+执法”“互联网+监管”，提升地震行政执法效能。积极组织防震减灾法律法规宣传教育活动，提高社会各界防震减灾法治意识。</w:t>
      </w:r>
    </w:p>
    <w:bookmarkEnd w:id="12"/>
    <w:bookmarkEnd w:id="17"/>
    <w:p>
      <w:pPr>
        <w:spacing w:line="560" w:lineRule="exact"/>
        <w:ind w:firstLine="628" w:firstLineChars="200"/>
        <w:outlineLvl w:val="0"/>
        <w:rPr>
          <w:rFonts w:ascii="黑体" w:hAnsi="黑体" w:eastAsia="黑体"/>
          <w:szCs w:val="32"/>
        </w:rPr>
      </w:pPr>
      <w:bookmarkStart w:id="24" w:name="_Toc33021441"/>
      <w:bookmarkStart w:id="25" w:name="_Toc66957169"/>
      <w:r>
        <w:rPr>
          <w:rFonts w:hint="eastAsia" w:ascii="黑体" w:hAnsi="黑体" w:eastAsia="黑体"/>
          <w:szCs w:val="32"/>
        </w:rPr>
        <w:t>四、重点工程</w:t>
      </w:r>
      <w:bookmarkEnd w:id="24"/>
      <w:r>
        <w:rPr>
          <w:rFonts w:hint="eastAsia" w:ascii="黑体" w:hAnsi="黑体" w:eastAsia="黑体"/>
          <w:szCs w:val="32"/>
        </w:rPr>
        <w:t>项目</w:t>
      </w:r>
      <w:bookmarkEnd w:id="25"/>
    </w:p>
    <w:p>
      <w:pPr>
        <w:spacing w:line="570" w:lineRule="exact"/>
        <w:ind w:firstLine="628" w:firstLineChars="200"/>
        <w:outlineLvl w:val="1"/>
        <w:rPr>
          <w:rFonts w:ascii="楷体_GB2312" w:hAnsi="楷体" w:eastAsia="楷体_GB2312" w:cs="楷体"/>
          <w:bCs/>
          <w:szCs w:val="32"/>
        </w:rPr>
      </w:pPr>
      <w:bookmarkStart w:id="26" w:name="_Toc66957170"/>
      <w:bookmarkStart w:id="27" w:name="_Toc32392051"/>
      <w:bookmarkStart w:id="28" w:name="_Toc33021444"/>
      <w:bookmarkStart w:id="29" w:name="_Toc33021442"/>
      <w:bookmarkStart w:id="30" w:name="_Toc32392053"/>
      <w:bookmarkStart w:id="31" w:name="_Toc32392049"/>
      <w:bookmarkStart w:id="32" w:name="_Toc33021448"/>
      <w:r>
        <w:rPr>
          <w:rFonts w:hint="eastAsia" w:ascii="楷体_GB2312" w:hAnsi="楷体" w:eastAsia="楷体_GB2312" w:cs="楷体"/>
          <w:bCs/>
          <w:szCs w:val="32"/>
        </w:rPr>
        <w:t>（一）中国地震科学实验场建设工程</w:t>
      </w:r>
      <w:bookmarkEnd w:id="26"/>
      <w:bookmarkEnd w:id="27"/>
      <w:bookmarkEnd w:id="28"/>
      <w:r>
        <w:rPr>
          <w:rFonts w:hint="eastAsia" w:ascii="楷体_GB2312" w:hAnsi="楷体" w:eastAsia="楷体_GB2312" w:cs="楷体"/>
          <w:bCs/>
          <w:szCs w:val="32"/>
        </w:rPr>
        <w:t>。</w:t>
      </w:r>
    </w:p>
    <w:p>
      <w:pPr>
        <w:spacing w:line="560" w:lineRule="exact"/>
        <w:ind w:firstLine="628" w:firstLineChars="200"/>
        <w:rPr>
          <w:rFonts w:ascii="仿宋_GB2312"/>
          <w:szCs w:val="32"/>
        </w:rPr>
      </w:pPr>
      <w:r>
        <w:rPr>
          <w:rFonts w:hint="eastAsia" w:ascii="仿宋_GB2312"/>
          <w:szCs w:val="32"/>
        </w:rPr>
        <w:t>建设中国特色、世界一流的地震科学实验场，建设集野外观测、数值模拟、科学验证及成果转化应用全链条的科技创新平台。</w:t>
      </w:r>
      <w:r>
        <w:rPr>
          <w:rFonts w:hint="eastAsia"/>
        </w:rPr>
        <w:t>在川滇菱形地块东边界带和重点地区，建成国际领先的多学科高时空分辨率地震科学观测网、地震预测与防震减灾应用分析平台和地震灾害链观测实验平台，</w:t>
      </w:r>
      <w:r>
        <w:rPr>
          <w:rFonts w:hint="eastAsia" w:ascii="仿宋_GB2312"/>
          <w:szCs w:val="32"/>
        </w:rPr>
        <w:t>提高地震预测能力，服务国家战略和重大工程安全，为提升城市地震韧性提供科学依据，促进应急管理、地震及相关地球学科发展，服务和保障经济社会发展。</w:t>
      </w:r>
    </w:p>
    <w:p>
      <w:pPr>
        <w:spacing w:line="570" w:lineRule="exact"/>
        <w:ind w:firstLine="628" w:firstLineChars="200"/>
        <w:outlineLvl w:val="1"/>
        <w:rPr>
          <w:rFonts w:ascii="楷体_GB2312" w:hAnsi="楷体" w:eastAsia="楷体_GB2312" w:cs="楷体"/>
          <w:bCs/>
          <w:szCs w:val="32"/>
        </w:rPr>
      </w:pPr>
      <w:bookmarkStart w:id="33" w:name="_Toc66957171"/>
      <w:r>
        <w:rPr>
          <w:rFonts w:hint="eastAsia" w:ascii="楷体_GB2312" w:hAnsi="楷体" w:eastAsia="楷体_GB2312" w:cs="楷体"/>
          <w:bCs/>
          <w:szCs w:val="32"/>
        </w:rPr>
        <w:t>（二）国家地震监测台（站）网改扩建</w:t>
      </w:r>
      <w:bookmarkEnd w:id="29"/>
      <w:bookmarkEnd w:id="30"/>
      <w:r>
        <w:rPr>
          <w:rFonts w:hint="eastAsia" w:ascii="楷体_GB2312" w:hAnsi="楷体" w:eastAsia="楷体_GB2312" w:cs="楷体"/>
          <w:bCs/>
          <w:szCs w:val="32"/>
        </w:rPr>
        <w:t>工程</w:t>
      </w:r>
      <w:bookmarkEnd w:id="33"/>
      <w:r>
        <w:rPr>
          <w:rFonts w:hint="eastAsia" w:ascii="楷体_GB2312" w:hAnsi="楷体" w:eastAsia="楷体_GB2312" w:cs="楷体"/>
          <w:bCs/>
          <w:szCs w:val="32"/>
        </w:rPr>
        <w:t>。</w:t>
      </w:r>
    </w:p>
    <w:p>
      <w:pPr>
        <w:spacing w:line="540" w:lineRule="exact"/>
        <w:ind w:firstLine="628" w:firstLineChars="200"/>
        <w:rPr>
          <w:rFonts w:ascii="仿宋_GB2312"/>
          <w:szCs w:val="32"/>
        </w:rPr>
      </w:pPr>
      <w:r>
        <w:rPr>
          <w:rFonts w:hint="eastAsia" w:ascii="仿宋_GB2312"/>
          <w:szCs w:val="32"/>
        </w:rPr>
        <w:t>改扩建地震固定监测站，升级观测设备。扩建已有的国家和省级地震预报、预警、速报、编目等业务处理系统，新建运行监控和业务测试平台。扩建国家和省级地震信息服务系统，新建业务评估系统。扩建地震数据质检、计量检测、装备保障等，新建统一调度管理系统。形成布局科学、技术先进、功能完备、流程集约、协同高效的地震监测台（站）网体系，</w:t>
      </w:r>
      <w:r>
        <w:rPr>
          <w:rFonts w:hint="eastAsia" w:ascii="仿宋_GB2312" w:hAnsiTheme="minorEastAsia"/>
          <w:szCs w:val="32"/>
        </w:rPr>
        <w:t>为实现地震观测的自动化、技术装备的现代化、业务应用的智能化和公共服务的精准化奠定坚实基础。</w:t>
      </w:r>
    </w:p>
    <w:p>
      <w:pPr>
        <w:spacing w:line="570" w:lineRule="exact"/>
        <w:ind w:firstLine="628" w:firstLineChars="200"/>
        <w:outlineLvl w:val="1"/>
        <w:rPr>
          <w:rFonts w:ascii="楷体_GB2312" w:hAnsi="楷体" w:eastAsia="楷体_GB2312" w:cs="楷体"/>
          <w:bCs/>
          <w:szCs w:val="32"/>
        </w:rPr>
      </w:pPr>
      <w:bookmarkStart w:id="34" w:name="_Toc32392054"/>
      <w:bookmarkStart w:id="35" w:name="_Toc66957172"/>
      <w:bookmarkStart w:id="36" w:name="_Toc33021443"/>
      <w:r>
        <w:rPr>
          <w:rFonts w:hint="eastAsia" w:ascii="楷体_GB2312" w:hAnsi="楷体" w:eastAsia="楷体_GB2312" w:cs="楷体"/>
          <w:bCs/>
          <w:szCs w:val="32"/>
        </w:rPr>
        <w:t>（三）</w:t>
      </w:r>
      <w:bookmarkEnd w:id="34"/>
      <w:r>
        <w:rPr>
          <w:rFonts w:hint="eastAsia" w:ascii="楷体_GB2312" w:hAnsi="楷体" w:eastAsia="楷体_GB2312" w:cs="楷体"/>
          <w:bCs/>
          <w:szCs w:val="32"/>
        </w:rPr>
        <w:t>第六代地震灾害风险区划工程</w:t>
      </w:r>
      <w:bookmarkEnd w:id="35"/>
      <w:bookmarkEnd w:id="36"/>
      <w:r>
        <w:rPr>
          <w:rFonts w:hint="eastAsia" w:ascii="楷体_GB2312" w:hAnsi="楷体" w:eastAsia="楷体_GB2312" w:cs="楷体"/>
          <w:bCs/>
          <w:szCs w:val="32"/>
        </w:rPr>
        <w:t>。</w:t>
      </w:r>
    </w:p>
    <w:p>
      <w:pPr>
        <w:spacing w:line="560" w:lineRule="exact"/>
        <w:ind w:firstLine="628" w:firstLineChars="200"/>
        <w:rPr>
          <w:rFonts w:ascii="仿宋_GB2312"/>
          <w:szCs w:val="32"/>
        </w:rPr>
      </w:pPr>
      <w:r>
        <w:rPr>
          <w:rFonts w:hint="eastAsia" w:ascii="仿宋_GB2312"/>
          <w:szCs w:val="32"/>
        </w:rPr>
        <w:t>开展重点地区大地震震源探测、深厚沉积层探测，建立完善潜在震源模型、地震活动性模型、地震动预测模型、地震动参数调整模型等，形成地震灾害风险模型库和数据库，按照宽频带、高精度、多概率、陆海一体的新一代技术思路，编制新一代地震区划图，修订国家强制性标准《中国地震动参数区划图》，编制省级地震区划工作指南及技术规程，建设地震灾害风险信息服务平台，完善地震区划业务体系，为防控新生风险、降低存量风险和应对巨灾风险提供支撑。</w:t>
      </w:r>
    </w:p>
    <w:p>
      <w:pPr>
        <w:spacing w:line="570" w:lineRule="exact"/>
        <w:ind w:firstLine="628" w:firstLineChars="200"/>
        <w:outlineLvl w:val="1"/>
        <w:rPr>
          <w:rFonts w:ascii="楷体_GB2312" w:hAnsi="楷体" w:eastAsia="楷体_GB2312" w:cs="楷体"/>
          <w:bCs/>
          <w:szCs w:val="32"/>
        </w:rPr>
      </w:pPr>
      <w:bookmarkStart w:id="37" w:name="_Toc66957173"/>
      <w:r>
        <w:rPr>
          <w:rFonts w:hint="eastAsia" w:ascii="楷体_GB2312" w:hAnsi="楷体" w:eastAsia="楷体_GB2312" w:cs="楷体"/>
          <w:bCs/>
          <w:szCs w:val="32"/>
        </w:rPr>
        <w:t>（四）特大城市和城市群大震灾害情景构建及风险防控工程</w:t>
      </w:r>
      <w:bookmarkEnd w:id="37"/>
      <w:r>
        <w:rPr>
          <w:rFonts w:hint="eastAsia" w:ascii="楷体_GB2312" w:hAnsi="楷体" w:eastAsia="楷体_GB2312" w:cs="楷体"/>
          <w:bCs/>
          <w:szCs w:val="32"/>
        </w:rPr>
        <w:t>。</w:t>
      </w:r>
    </w:p>
    <w:p>
      <w:pPr>
        <w:spacing w:line="560" w:lineRule="exact"/>
        <w:ind w:firstLine="628" w:firstLineChars="200"/>
        <w:rPr>
          <w:rFonts w:ascii="仿宋_GB2312" w:hAnsi="黑体"/>
          <w:szCs w:val="32"/>
        </w:rPr>
      </w:pPr>
      <w:r>
        <w:rPr>
          <w:rFonts w:hint="eastAsia" w:ascii="仿宋_GB2312" w:hAnsi="仿宋_GB2312" w:cs="仿宋_GB2312"/>
          <w:szCs w:val="32"/>
        </w:rPr>
        <w:t>在</w:t>
      </w:r>
      <w:r>
        <w:rPr>
          <w:rFonts w:ascii="仿宋_GB2312" w:hAnsi="仿宋_GB2312" w:cs="仿宋_GB2312"/>
          <w:szCs w:val="32"/>
        </w:rPr>
        <w:t>京津冀</w:t>
      </w:r>
      <w:r>
        <w:rPr>
          <w:rFonts w:hint="eastAsia" w:ascii="仿宋_GB2312" w:hAnsi="仿宋_GB2312" w:cs="仿宋_GB2312"/>
          <w:szCs w:val="32"/>
        </w:rPr>
        <w:t>、</w:t>
      </w:r>
      <w:r>
        <w:rPr>
          <w:rFonts w:ascii="仿宋_GB2312" w:hAnsi="仿宋_GB2312" w:cs="仿宋_GB2312"/>
          <w:szCs w:val="32"/>
        </w:rPr>
        <w:t>长三角</w:t>
      </w:r>
      <w:r>
        <w:rPr>
          <w:rFonts w:hint="eastAsia" w:ascii="仿宋_GB2312" w:hAnsi="仿宋_GB2312" w:cs="仿宋_GB2312"/>
          <w:szCs w:val="32"/>
        </w:rPr>
        <w:t>、</w:t>
      </w:r>
      <w:r>
        <w:rPr>
          <w:rFonts w:ascii="仿宋_GB2312" w:hAnsi="仿宋_GB2312" w:cs="仿宋_GB2312"/>
          <w:szCs w:val="32"/>
        </w:rPr>
        <w:t>粤港澳大湾区</w:t>
      </w:r>
      <w:r>
        <w:rPr>
          <w:rFonts w:hint="eastAsia" w:ascii="仿宋_GB2312" w:hAnsi="仿宋_GB2312" w:cs="仿宋_GB2312"/>
          <w:szCs w:val="32"/>
        </w:rPr>
        <w:t>、成渝</w:t>
      </w:r>
      <w:r>
        <w:rPr>
          <w:rFonts w:ascii="仿宋_GB2312" w:hAnsi="仿宋_GB2312" w:cs="仿宋_GB2312"/>
          <w:szCs w:val="32"/>
        </w:rPr>
        <w:t>等城市群开展地震灾害危险源与重点风险源</w:t>
      </w:r>
      <w:r>
        <w:rPr>
          <w:rFonts w:hint="eastAsia" w:ascii="仿宋_GB2312" w:hAnsi="仿宋_GB2312" w:cs="仿宋_GB2312"/>
          <w:szCs w:val="32"/>
        </w:rPr>
        <w:t>调查，</w:t>
      </w:r>
      <w:r>
        <w:rPr>
          <w:rFonts w:ascii="仿宋_GB2312" w:hAnsi="仿宋_GB2312" w:cs="仿宋_GB2312"/>
          <w:szCs w:val="32"/>
        </w:rPr>
        <w:t>构建工程结构地震易损性精细化模型</w:t>
      </w:r>
      <w:r>
        <w:rPr>
          <w:rFonts w:hint="eastAsia" w:ascii="仿宋_GB2312" w:hAnsi="仿宋_GB2312" w:cs="仿宋_GB2312"/>
          <w:szCs w:val="32"/>
        </w:rPr>
        <w:t>，编制特大城市和城市群抗震韧性标准，开展</w:t>
      </w:r>
      <w:r>
        <w:rPr>
          <w:rFonts w:ascii="仿宋_GB2312" w:hAnsi="仿宋_GB2312" w:cs="仿宋_GB2312"/>
          <w:szCs w:val="32"/>
        </w:rPr>
        <w:t>抗震韧性评价</w:t>
      </w:r>
      <w:r>
        <w:rPr>
          <w:rFonts w:hint="eastAsia" w:ascii="仿宋_GB2312" w:hAnsi="仿宋_GB2312" w:cs="仿宋_GB2312"/>
          <w:szCs w:val="32"/>
        </w:rPr>
        <w:t>，促进</w:t>
      </w:r>
      <w:r>
        <w:rPr>
          <w:rFonts w:ascii="仿宋_GB2312" w:hAnsi="仿宋_GB2312" w:cs="仿宋_GB2312"/>
          <w:szCs w:val="32"/>
        </w:rPr>
        <w:t>城市抗震韧性整体提</w:t>
      </w:r>
      <w:r>
        <w:rPr>
          <w:rFonts w:hint="eastAsia" w:ascii="仿宋_GB2312" w:hAnsi="仿宋_GB2312" w:cs="仿宋_GB2312"/>
          <w:szCs w:val="32"/>
        </w:rPr>
        <w:t>升。拓展地震烈度速报与预警网络城市地震安全服务，推进建设城市与重大基础设施地震安全防范运行系统，</w:t>
      </w:r>
      <w:r>
        <w:rPr>
          <w:rFonts w:ascii="仿宋_GB2312" w:hAnsi="仿宋_GB2312" w:cs="仿宋_GB2312"/>
          <w:szCs w:val="32"/>
        </w:rPr>
        <w:t>实现地震</w:t>
      </w:r>
      <w:r>
        <w:rPr>
          <w:rFonts w:hint="eastAsia" w:ascii="仿宋_GB2312" w:hAnsi="仿宋_GB2312" w:cs="仿宋_GB2312"/>
          <w:szCs w:val="32"/>
        </w:rPr>
        <w:t>灾害</w:t>
      </w:r>
      <w:r>
        <w:rPr>
          <w:rFonts w:ascii="仿宋_GB2312" w:hAnsi="仿宋_GB2312" w:cs="仿宋_GB2312"/>
          <w:szCs w:val="32"/>
        </w:rPr>
        <w:t>风险实时监测与预警</w:t>
      </w:r>
      <w:r>
        <w:rPr>
          <w:rFonts w:hint="eastAsia" w:ascii="仿宋_GB2312" w:hAnsi="仿宋_GB2312" w:cs="仿宋_GB2312"/>
          <w:szCs w:val="32"/>
        </w:rPr>
        <w:t>。开展京津冀地区大震情景构建，建立可视化大震巨灾情景构建模拟系统，基于设定地震开展大震灾害情景模拟与应用分析，展现区域地震灾害情景演化过程，评估应对能力的短板和不足，提供有针对性、可操作的防灾减灾备灾措施。</w:t>
      </w:r>
      <w:r>
        <w:rPr>
          <w:rFonts w:hint="eastAsia" w:ascii="仿宋_GB2312" w:hAnsi="黑体"/>
          <w:szCs w:val="32"/>
        </w:rPr>
        <w:t>对接智慧城市建设，实现城市地震灾害风险智慧化管理“一张图”。</w:t>
      </w:r>
    </w:p>
    <w:p>
      <w:pPr>
        <w:spacing w:line="570" w:lineRule="exact"/>
        <w:ind w:firstLine="628" w:firstLineChars="200"/>
        <w:outlineLvl w:val="1"/>
        <w:rPr>
          <w:rFonts w:ascii="楷体_GB2312" w:hAnsi="楷体" w:eastAsia="楷体_GB2312" w:cs="楷体"/>
          <w:bCs/>
          <w:szCs w:val="32"/>
        </w:rPr>
      </w:pPr>
      <w:bookmarkStart w:id="38" w:name="_Toc66957174"/>
      <w:r>
        <w:rPr>
          <w:rFonts w:hint="eastAsia" w:ascii="楷体_GB2312" w:hAnsi="楷体" w:eastAsia="楷体_GB2312" w:cs="楷体"/>
          <w:bCs/>
          <w:szCs w:val="32"/>
        </w:rPr>
        <w:t>（五）防震减灾公共服务信息化工程</w:t>
      </w:r>
      <w:bookmarkEnd w:id="38"/>
      <w:r>
        <w:rPr>
          <w:rFonts w:hint="eastAsia" w:ascii="楷体_GB2312" w:hAnsi="楷体" w:eastAsia="楷体_GB2312" w:cs="楷体"/>
          <w:bCs/>
          <w:szCs w:val="32"/>
        </w:rPr>
        <w:t>。</w:t>
      </w:r>
    </w:p>
    <w:p>
      <w:pPr>
        <w:spacing w:line="560" w:lineRule="exact"/>
        <w:ind w:firstLine="628" w:firstLineChars="200"/>
        <w:rPr>
          <w:rFonts w:ascii="仿宋_GB2312" w:hAnsi="宋体" w:cs="宋体"/>
          <w:szCs w:val="32"/>
        </w:rPr>
      </w:pPr>
      <w:r>
        <w:rPr>
          <w:rFonts w:hint="eastAsia" w:ascii="仿宋_GB2312" w:hAnsi="宋体" w:cs="宋体"/>
          <w:szCs w:val="32"/>
        </w:rPr>
        <w:t>围绕决策服务、公众服务、专业服务、专项服务，建设统一标准、开放接口、云端部署的公共服务平台，汇集大数据、人工智能、情景模拟等高新技术，建设</w:t>
      </w:r>
      <w:r>
        <w:rPr>
          <w:rFonts w:hint="eastAsia" w:ascii="仿宋_GB2312"/>
          <w:szCs w:val="32"/>
        </w:rPr>
        <w:t>产品管理、产品展示、地震数据资源目录服务、产品推广等系统，</w:t>
      </w:r>
      <w:r>
        <w:rPr>
          <w:rFonts w:hint="eastAsia" w:ascii="仿宋_GB2312" w:hAnsi="宋体" w:cs="宋体"/>
          <w:szCs w:val="32"/>
        </w:rPr>
        <w:t>提供集约化、便捷化、智能化防震减灾公共服务，提升精细化、精准化、个性化服务水平。建设防震减灾融媒体中心，打造防震减灾宣传科普网络和新媒体传播平台，形成新媒体传播矩阵。建设中国数字地震科普馆，实现三维数字影像展示，开发防震减灾科学实验、情景视频、动漫游戏等产品，提供体验式、沉浸式、互动式科普服务。</w:t>
      </w:r>
    </w:p>
    <w:p>
      <w:pPr>
        <w:spacing w:line="570" w:lineRule="exact"/>
        <w:ind w:firstLine="628" w:firstLineChars="200"/>
        <w:outlineLvl w:val="1"/>
        <w:rPr>
          <w:rFonts w:ascii="楷体_GB2312" w:hAnsi="楷体" w:eastAsia="楷体_GB2312" w:cs="楷体"/>
          <w:bCs/>
          <w:szCs w:val="32"/>
        </w:rPr>
      </w:pPr>
      <w:bookmarkStart w:id="39" w:name="_Toc66957175"/>
      <w:r>
        <w:rPr>
          <w:rFonts w:hint="eastAsia" w:ascii="楷体_GB2312" w:hAnsi="楷体" w:eastAsia="楷体_GB2312" w:cs="楷体"/>
          <w:bCs/>
          <w:szCs w:val="32"/>
        </w:rPr>
        <w:t>（六）“一带一路”建设地震安全保障工程</w:t>
      </w:r>
      <w:bookmarkEnd w:id="39"/>
      <w:r>
        <w:rPr>
          <w:rFonts w:hint="eastAsia" w:ascii="楷体_GB2312" w:hAnsi="楷体" w:eastAsia="楷体_GB2312" w:cs="楷体"/>
          <w:bCs/>
          <w:szCs w:val="32"/>
        </w:rPr>
        <w:t>。</w:t>
      </w:r>
    </w:p>
    <w:p>
      <w:pPr>
        <w:widowControl/>
        <w:spacing w:line="560" w:lineRule="exact"/>
        <w:ind w:firstLine="628" w:firstLineChars="200"/>
        <w:rPr>
          <w:rFonts w:ascii="仿宋_GB2312" w:hAnsi="宋体" w:cs="宋体"/>
          <w:szCs w:val="32"/>
        </w:rPr>
      </w:pPr>
      <w:r>
        <w:rPr>
          <w:rFonts w:hint="eastAsia" w:ascii="仿宋_GB2312" w:hAnsi="宋体" w:cs="宋体"/>
          <w:szCs w:val="32"/>
        </w:rPr>
        <w:t>推动与“一带一路”国家地震减灾合作机制建设，共同开展地震灾害风险区划、活动断层探测、地震监测台网建设以及地震安全保障技术、标准、规范的交流，提高地震监测预警能力和地震灾害风险防治基础能力。</w:t>
      </w:r>
    </w:p>
    <w:p>
      <w:pPr>
        <w:spacing w:line="570" w:lineRule="exact"/>
        <w:ind w:firstLine="628" w:firstLineChars="200"/>
        <w:outlineLvl w:val="1"/>
        <w:rPr>
          <w:rFonts w:ascii="楷体_GB2312" w:hAnsi="楷体" w:eastAsia="楷体_GB2312" w:cs="楷体"/>
          <w:bCs/>
          <w:szCs w:val="32"/>
        </w:rPr>
      </w:pPr>
      <w:bookmarkStart w:id="40" w:name="_Toc66957176"/>
      <w:r>
        <w:rPr>
          <w:rFonts w:hint="eastAsia" w:ascii="楷体_GB2312" w:hAnsi="楷体" w:eastAsia="楷体_GB2312" w:cs="楷体"/>
          <w:bCs/>
          <w:szCs w:val="32"/>
        </w:rPr>
        <w:t>（七）新疆、西藏防震减灾基础能力提升</w:t>
      </w:r>
      <w:bookmarkEnd w:id="40"/>
      <w:r>
        <w:rPr>
          <w:rFonts w:hint="eastAsia" w:ascii="楷体_GB2312" w:hAnsi="楷体" w:eastAsia="楷体_GB2312" w:cs="楷体"/>
          <w:bCs/>
          <w:szCs w:val="32"/>
        </w:rPr>
        <w:t>工程。</w:t>
      </w:r>
    </w:p>
    <w:p>
      <w:pPr>
        <w:widowControl/>
        <w:spacing w:line="560" w:lineRule="exact"/>
        <w:ind w:firstLine="628" w:firstLineChars="200"/>
        <w:rPr>
          <w:rFonts w:ascii="仿宋_GB2312" w:hAnsi="宋体" w:cs="宋体"/>
          <w:szCs w:val="32"/>
        </w:rPr>
      </w:pPr>
      <w:r>
        <w:rPr>
          <w:rFonts w:hint="eastAsia" w:ascii="仿宋_GB2312" w:hAnsi="宋体" w:cs="宋体"/>
          <w:szCs w:val="32"/>
        </w:rPr>
        <w:t>加密地震监测站网，融合地质地貌填图、流动观测台阵、连续与流动</w:t>
      </w:r>
      <w:r>
        <w:rPr>
          <w:rFonts w:ascii="仿宋_GB2312" w:hAnsi="宋体" w:cs="宋体"/>
          <w:szCs w:val="32"/>
        </w:rPr>
        <w:t>GNSS、InSAR</w:t>
      </w:r>
      <w:r>
        <w:rPr>
          <w:rFonts w:hint="eastAsia" w:ascii="仿宋_GB2312" w:hAnsi="宋体" w:cs="宋体"/>
          <w:szCs w:val="32"/>
        </w:rPr>
        <w:t>、水准、大地电磁、地温等技术，提升南天山－帕米尔地区、川藏铁路沿线和西藏综合地震监测能力；对地震重点地区的重点活动构造和县域开展地震灾害风险评估，建立活动断层专题数据库，完善地震灾害防治业务体系，提升新疆、西藏防震减灾基础能力。</w:t>
      </w:r>
    </w:p>
    <w:p>
      <w:pPr>
        <w:spacing w:line="570" w:lineRule="exact"/>
        <w:ind w:firstLine="628" w:firstLineChars="200"/>
        <w:outlineLvl w:val="1"/>
        <w:rPr>
          <w:rFonts w:ascii="楷体_GB2312" w:hAnsi="楷体" w:eastAsia="楷体_GB2312" w:cs="楷体"/>
          <w:bCs/>
          <w:szCs w:val="32"/>
        </w:rPr>
      </w:pPr>
      <w:bookmarkStart w:id="41" w:name="_Toc32392052"/>
      <w:bookmarkStart w:id="42" w:name="_Toc33021446"/>
      <w:bookmarkStart w:id="43" w:name="_Toc33021445"/>
      <w:bookmarkStart w:id="44" w:name="_Toc66957177"/>
      <w:r>
        <w:rPr>
          <w:rFonts w:hint="eastAsia" w:ascii="楷体_GB2312" w:hAnsi="楷体" w:eastAsia="楷体_GB2312" w:cs="楷体"/>
          <w:bCs/>
          <w:szCs w:val="32"/>
        </w:rPr>
        <w:t>（八）</w:t>
      </w:r>
      <w:bookmarkEnd w:id="31"/>
      <w:bookmarkEnd w:id="41"/>
      <w:bookmarkEnd w:id="42"/>
      <w:bookmarkEnd w:id="43"/>
      <w:bookmarkStart w:id="45" w:name="_Toc486268118"/>
      <w:r>
        <w:rPr>
          <w:rFonts w:hint="eastAsia" w:ascii="楷体_GB2312" w:hAnsi="楷体" w:eastAsia="楷体_GB2312" w:cs="楷体"/>
          <w:bCs/>
          <w:szCs w:val="32"/>
        </w:rPr>
        <w:t>地震应急救援能力提升</w:t>
      </w:r>
      <w:bookmarkEnd w:id="44"/>
      <w:r>
        <w:rPr>
          <w:rFonts w:hint="eastAsia" w:ascii="楷体_GB2312" w:hAnsi="楷体" w:eastAsia="楷体_GB2312" w:cs="楷体"/>
          <w:bCs/>
          <w:szCs w:val="32"/>
        </w:rPr>
        <w:t>工程。</w:t>
      </w:r>
    </w:p>
    <w:p>
      <w:pPr>
        <w:widowControl/>
        <w:spacing w:line="560" w:lineRule="exact"/>
        <w:ind w:firstLine="628" w:firstLineChars="200"/>
        <w:rPr>
          <w:rFonts w:ascii="仿宋_GB2312"/>
        </w:rPr>
      </w:pPr>
      <w:r>
        <w:rPr>
          <w:rFonts w:hint="eastAsia" w:ascii="仿宋_GB2312" w:hAnsi="宋体" w:cs="宋体"/>
          <w:szCs w:val="32"/>
        </w:rPr>
        <w:t>面向我国</w:t>
      </w:r>
      <w:r>
        <w:rPr>
          <w:rFonts w:hint="eastAsia" w:ascii="仿宋_GB2312" w:hAnsi="仿宋"/>
          <w:szCs w:val="32"/>
        </w:rPr>
        <w:t>西北地区和“一带一路”国家地震应急救援培训需求，建设新疆喀什国际地震救援实训基地。升级改造</w:t>
      </w:r>
      <w:r>
        <w:rPr>
          <w:rFonts w:hint="eastAsia" w:ascii="仿宋_GB2312" w:hAnsi="楷体" w:cs="楷体"/>
          <w:szCs w:val="32"/>
        </w:rPr>
        <w:t>国家地震灾害紧急救援训练基地、兰州陆地搜寻与救护基地和山东地震应急救援训练基地。</w:t>
      </w:r>
      <w:r>
        <w:rPr>
          <w:rFonts w:hint="eastAsia" w:ascii="仿宋_GB2312" w:hAnsi="宋体" w:cs="宋体"/>
          <w:szCs w:val="32"/>
        </w:rPr>
        <w:t>建立</w:t>
      </w:r>
      <w:r>
        <w:rPr>
          <w:rFonts w:hint="eastAsia" w:ascii="仿宋_GB2312" w:hAnsi="楷体" w:cs="楷体"/>
          <w:szCs w:val="32"/>
        </w:rPr>
        <w:t>国家地震灾害救援培训</w:t>
      </w:r>
      <w:r>
        <w:rPr>
          <w:rFonts w:hint="eastAsia" w:ascii="仿宋_GB2312" w:hAnsi="宋体" w:cs="宋体"/>
          <w:szCs w:val="32"/>
        </w:rPr>
        <w:t>服务</w:t>
      </w:r>
      <w:r>
        <w:rPr>
          <w:rFonts w:hint="eastAsia" w:ascii="仿宋_GB2312" w:hAnsi="楷体" w:cs="楷体"/>
          <w:szCs w:val="32"/>
        </w:rPr>
        <w:t>网络。</w:t>
      </w:r>
      <w:r>
        <w:rPr>
          <w:rFonts w:hint="eastAsia" w:ascii="仿宋_GB2312" w:hAnsi="楷体" w:cs="楷体"/>
          <w:bCs/>
          <w:szCs w:val="32"/>
        </w:rPr>
        <w:t>建设重特大地震精准救援指挥调度辅助决策平台，</w:t>
      </w:r>
      <w:r>
        <w:rPr>
          <w:rFonts w:hint="eastAsia" w:ascii="仿宋_GB2312"/>
        </w:rPr>
        <w:t>构建全</w:t>
      </w:r>
      <w:r>
        <w:rPr>
          <w:rFonts w:hint="eastAsia" w:ascii="仿宋_GB2312" w:hAnsi="宋体" w:cs="宋体"/>
        </w:rPr>
        <w:t>球</w:t>
      </w:r>
      <w:r>
        <w:rPr>
          <w:rFonts w:hint="eastAsia" w:ascii="仿宋_GB2312"/>
        </w:rPr>
        <w:t>地震灾害</w:t>
      </w:r>
      <w:r>
        <w:rPr>
          <w:rFonts w:hint="eastAsia" w:ascii="仿宋_GB2312" w:hAnsi="宋体" w:cs="宋体"/>
        </w:rPr>
        <w:t>快速评估系统、灾情</w:t>
      </w:r>
      <w:r>
        <w:rPr>
          <w:rFonts w:hint="eastAsia" w:ascii="仿宋_GB2312"/>
        </w:rPr>
        <w:t>获取网络，救援作业现场安全预警装备体系，快速定位震后重点搜索救援区域，有效提升地震应急救援响应速度、搜寻效率、救援实效和作业安全性。</w:t>
      </w:r>
    </w:p>
    <w:bookmarkEnd w:id="45"/>
    <w:p>
      <w:pPr>
        <w:spacing w:line="560" w:lineRule="exact"/>
        <w:ind w:firstLine="628" w:firstLineChars="200"/>
        <w:outlineLvl w:val="0"/>
        <w:rPr>
          <w:rFonts w:ascii="黑体" w:hAnsi="黑体" w:eastAsia="黑体"/>
          <w:szCs w:val="32"/>
        </w:rPr>
      </w:pPr>
      <w:bookmarkStart w:id="46" w:name="_Toc66957178"/>
      <w:r>
        <w:rPr>
          <w:rFonts w:hint="eastAsia" w:ascii="黑体" w:hAnsi="黑体" w:eastAsia="黑体"/>
          <w:szCs w:val="32"/>
        </w:rPr>
        <w:t>五、保障措施</w:t>
      </w:r>
      <w:bookmarkEnd w:id="32"/>
      <w:bookmarkEnd w:id="46"/>
    </w:p>
    <w:p>
      <w:pPr>
        <w:spacing w:line="570" w:lineRule="exact"/>
        <w:ind w:firstLine="628" w:firstLineChars="200"/>
        <w:outlineLvl w:val="1"/>
        <w:rPr>
          <w:rFonts w:ascii="楷体_GB2312" w:hAnsi="楷体" w:eastAsia="楷体_GB2312" w:cs="楷体"/>
          <w:bCs/>
          <w:szCs w:val="32"/>
        </w:rPr>
      </w:pPr>
      <w:bookmarkStart w:id="47" w:name="_Toc33021449"/>
      <w:bookmarkStart w:id="48" w:name="_Toc66957179"/>
      <w:r>
        <w:rPr>
          <w:rFonts w:hint="eastAsia" w:ascii="楷体_GB2312" w:hAnsi="楷体" w:eastAsia="楷体_GB2312" w:cs="楷体"/>
          <w:bCs/>
          <w:szCs w:val="32"/>
        </w:rPr>
        <w:t>（一）加强组织领导</w:t>
      </w:r>
      <w:bookmarkEnd w:id="47"/>
      <w:bookmarkEnd w:id="48"/>
      <w:r>
        <w:rPr>
          <w:rFonts w:hint="eastAsia" w:ascii="楷体_GB2312" w:hAnsi="楷体" w:eastAsia="楷体_GB2312" w:cs="楷体"/>
          <w:bCs/>
          <w:szCs w:val="32"/>
        </w:rPr>
        <w:t>。</w:t>
      </w:r>
    </w:p>
    <w:p>
      <w:pPr>
        <w:spacing w:line="560" w:lineRule="exact"/>
        <w:ind w:firstLine="628" w:firstLineChars="200"/>
        <w:rPr>
          <w:rFonts w:ascii="仿宋_GB2312"/>
          <w:szCs w:val="32"/>
        </w:rPr>
      </w:pPr>
      <w:r>
        <w:rPr>
          <w:rFonts w:hint="eastAsia" w:ascii="仿宋_GB2312"/>
          <w:szCs w:val="32"/>
        </w:rPr>
        <w:t>把党对防震减灾工作的全面领导落到实处，健全规划实施工作机制，细化目标、分解任务、明确责任，发挥防震减灾相关部门和行业各单位的积极性创造性，确保规划目标如期实现。加强宣贯，营造规划实施的良好氛围。</w:t>
      </w:r>
    </w:p>
    <w:p>
      <w:pPr>
        <w:spacing w:line="570" w:lineRule="exact"/>
        <w:ind w:firstLine="628" w:firstLineChars="200"/>
        <w:outlineLvl w:val="1"/>
        <w:rPr>
          <w:rFonts w:ascii="楷体_GB2312" w:hAnsi="楷体" w:eastAsia="楷体_GB2312" w:cs="楷体"/>
          <w:bCs/>
          <w:szCs w:val="32"/>
        </w:rPr>
      </w:pPr>
      <w:bookmarkStart w:id="49" w:name="_Toc33021450"/>
      <w:bookmarkStart w:id="50" w:name="_Toc66957180"/>
      <w:r>
        <w:rPr>
          <w:rFonts w:hint="eastAsia" w:ascii="楷体_GB2312" w:hAnsi="楷体" w:eastAsia="楷体_GB2312" w:cs="楷体"/>
          <w:bCs/>
          <w:szCs w:val="32"/>
        </w:rPr>
        <w:t>（二）健全投入</w:t>
      </w:r>
      <w:bookmarkEnd w:id="49"/>
      <w:r>
        <w:rPr>
          <w:rFonts w:hint="eastAsia" w:ascii="楷体_GB2312" w:hAnsi="楷体" w:eastAsia="楷体_GB2312" w:cs="楷体"/>
          <w:bCs/>
          <w:szCs w:val="32"/>
        </w:rPr>
        <w:t>机制</w:t>
      </w:r>
      <w:bookmarkEnd w:id="50"/>
      <w:r>
        <w:rPr>
          <w:rFonts w:hint="eastAsia" w:ascii="楷体_GB2312" w:hAnsi="楷体" w:eastAsia="楷体_GB2312" w:cs="楷体"/>
          <w:bCs/>
          <w:szCs w:val="32"/>
        </w:rPr>
        <w:t>。</w:t>
      </w:r>
    </w:p>
    <w:p>
      <w:pPr>
        <w:spacing w:line="560" w:lineRule="exact"/>
        <w:ind w:firstLine="628" w:firstLineChars="200"/>
        <w:rPr>
          <w:rFonts w:ascii="仿宋_GB2312"/>
          <w:szCs w:val="32"/>
        </w:rPr>
      </w:pPr>
      <w:r>
        <w:rPr>
          <w:rFonts w:hint="eastAsia" w:ascii="仿宋_GB2312"/>
          <w:szCs w:val="32"/>
        </w:rPr>
        <w:t>优化防震减灾资金投入，拓宽资金投入渠道，加大防震减灾重点工程项目建设、科学研究、人才培养、技术研发、科普宣传等方面的经费投入。完善经费保障机制，引导社会资金支持，加强资金使用的管理与监督。</w:t>
      </w:r>
    </w:p>
    <w:p>
      <w:pPr>
        <w:spacing w:line="570" w:lineRule="exact"/>
        <w:ind w:firstLine="628" w:firstLineChars="200"/>
        <w:outlineLvl w:val="1"/>
        <w:rPr>
          <w:rFonts w:ascii="楷体_GB2312" w:hAnsi="楷体" w:eastAsia="楷体_GB2312" w:cs="楷体"/>
          <w:bCs/>
          <w:szCs w:val="32"/>
        </w:rPr>
      </w:pPr>
      <w:bookmarkStart w:id="51" w:name="_Toc66957181"/>
      <w:r>
        <w:rPr>
          <w:rFonts w:hint="eastAsia" w:ascii="楷体_GB2312" w:hAnsi="楷体" w:eastAsia="楷体_GB2312" w:cs="楷体"/>
          <w:bCs/>
          <w:szCs w:val="32"/>
        </w:rPr>
        <w:t>（三）建立协同机制</w:t>
      </w:r>
      <w:bookmarkEnd w:id="51"/>
      <w:r>
        <w:rPr>
          <w:rFonts w:hint="eastAsia" w:ascii="楷体_GB2312" w:hAnsi="楷体" w:eastAsia="楷体_GB2312" w:cs="楷体"/>
          <w:bCs/>
          <w:szCs w:val="32"/>
        </w:rPr>
        <w:t>。</w:t>
      </w:r>
    </w:p>
    <w:p>
      <w:pPr>
        <w:spacing w:line="560" w:lineRule="exact"/>
        <w:ind w:firstLine="628" w:firstLineChars="200"/>
        <w:rPr>
          <w:rFonts w:ascii="仿宋_GB2312"/>
          <w:szCs w:val="32"/>
        </w:rPr>
      </w:pPr>
      <w:r>
        <w:rPr>
          <w:rFonts w:hint="eastAsia" w:ascii="仿宋_GB2312"/>
          <w:szCs w:val="32"/>
        </w:rPr>
        <w:t>建立区域防震减灾发展协调联动机制，促进京津冀、长三角、粤港澳大湾区防震减灾一体化建设，加强成渝等城市群防震减灾能力建设。建立东西部优势互补的交流共建机制，加大援藏援疆力度，强化对中西部防震减灾基础薄弱地区工作的支持。</w:t>
      </w:r>
    </w:p>
    <w:p>
      <w:pPr>
        <w:spacing w:line="570" w:lineRule="exact"/>
        <w:ind w:firstLine="628" w:firstLineChars="200"/>
        <w:outlineLvl w:val="1"/>
        <w:rPr>
          <w:rFonts w:ascii="楷体_GB2312" w:hAnsi="楷体" w:eastAsia="楷体_GB2312" w:cs="楷体"/>
          <w:bCs/>
          <w:szCs w:val="32"/>
        </w:rPr>
      </w:pPr>
      <w:bookmarkStart w:id="52" w:name="_Toc33021451"/>
      <w:bookmarkStart w:id="53" w:name="_Toc66957182"/>
      <w:r>
        <w:rPr>
          <w:rFonts w:hint="eastAsia" w:ascii="楷体_GB2312" w:hAnsi="楷体" w:eastAsia="楷体_GB2312" w:cs="楷体"/>
          <w:bCs/>
          <w:szCs w:val="32"/>
        </w:rPr>
        <w:t>（四）</w:t>
      </w:r>
      <w:bookmarkEnd w:id="52"/>
      <w:bookmarkStart w:id="54" w:name="_Toc317493716"/>
      <w:bookmarkStart w:id="55" w:name="_Toc313880949"/>
      <w:bookmarkStart w:id="56" w:name="_Toc291082315"/>
      <w:r>
        <w:rPr>
          <w:rFonts w:hint="eastAsia" w:ascii="楷体_GB2312" w:hAnsi="楷体" w:eastAsia="楷体_GB2312" w:cs="楷体"/>
          <w:bCs/>
          <w:szCs w:val="32"/>
        </w:rPr>
        <w:t>强化</w:t>
      </w:r>
      <w:bookmarkEnd w:id="54"/>
      <w:bookmarkEnd w:id="55"/>
      <w:bookmarkEnd w:id="56"/>
      <w:r>
        <w:rPr>
          <w:rFonts w:hint="eastAsia" w:ascii="楷体_GB2312" w:hAnsi="楷体" w:eastAsia="楷体_GB2312" w:cs="楷体"/>
          <w:bCs/>
          <w:szCs w:val="32"/>
        </w:rPr>
        <w:t>队伍建设</w:t>
      </w:r>
      <w:bookmarkEnd w:id="53"/>
      <w:r>
        <w:rPr>
          <w:rFonts w:hint="eastAsia" w:ascii="楷体_GB2312" w:hAnsi="楷体" w:eastAsia="楷体_GB2312" w:cs="楷体"/>
          <w:bCs/>
          <w:szCs w:val="32"/>
        </w:rPr>
        <w:t>。</w:t>
      </w:r>
    </w:p>
    <w:p>
      <w:pPr>
        <w:spacing w:line="560" w:lineRule="exact"/>
        <w:ind w:firstLine="628" w:firstLineChars="200"/>
        <w:rPr>
          <w:rFonts w:ascii="仿宋_GB2312"/>
          <w:szCs w:val="32"/>
        </w:rPr>
      </w:pPr>
      <w:r>
        <w:rPr>
          <w:rFonts w:hint="eastAsia" w:ascii="仿宋_GB2312"/>
          <w:szCs w:val="32"/>
        </w:rPr>
        <w:t>贯彻新时代党的组织路线，弘扬伟大建党精神，践行“对党忠诚、纪律严明、赴汤蹈火、竭诚为民”重要训词精神，加强干部人才培养，完善激励机制，建设政治过硬、本领高强的防震减灾干部人才队伍。</w:t>
      </w:r>
    </w:p>
    <w:p>
      <w:pPr>
        <w:spacing w:line="570" w:lineRule="exact"/>
        <w:ind w:firstLine="628" w:firstLineChars="200"/>
        <w:outlineLvl w:val="1"/>
        <w:rPr>
          <w:rFonts w:ascii="楷体_GB2312" w:hAnsi="楷体" w:eastAsia="楷体_GB2312" w:cs="楷体"/>
          <w:bCs/>
          <w:szCs w:val="32"/>
        </w:rPr>
      </w:pPr>
      <w:bookmarkStart w:id="57" w:name="_Toc66957183"/>
      <w:r>
        <w:rPr>
          <w:rFonts w:hint="eastAsia" w:ascii="楷体_GB2312" w:hAnsi="楷体" w:eastAsia="楷体_GB2312" w:cs="楷体"/>
          <w:bCs/>
          <w:szCs w:val="32"/>
        </w:rPr>
        <w:t>（五）实施监测评估</w:t>
      </w:r>
      <w:bookmarkEnd w:id="57"/>
      <w:r>
        <w:rPr>
          <w:rFonts w:hint="eastAsia" w:ascii="楷体_GB2312" w:hAnsi="楷体" w:eastAsia="楷体_GB2312" w:cs="楷体"/>
          <w:bCs/>
          <w:szCs w:val="32"/>
        </w:rPr>
        <w:t>。</w:t>
      </w:r>
    </w:p>
    <w:p>
      <w:pPr>
        <w:spacing w:line="560" w:lineRule="exact"/>
        <w:ind w:firstLine="628" w:firstLineChars="200"/>
        <w:rPr>
          <w:rFonts w:hint="eastAsia" w:ascii="仿宋_GB2312" w:cs="仿宋_GB2312"/>
          <w:szCs w:val="32"/>
        </w:rPr>
      </w:pPr>
      <w:r>
        <w:rPr>
          <w:rFonts w:hint="eastAsia" w:ascii="仿宋_GB2312"/>
          <w:szCs w:val="32"/>
        </w:rPr>
        <w:t>建立健全评估制度，</w:t>
      </w:r>
      <w:r>
        <w:rPr>
          <w:rFonts w:hint="eastAsia" w:ascii="仿宋_GB2312" w:cs="仿宋_GB2312"/>
          <w:szCs w:val="32"/>
        </w:rPr>
        <w:t>与新时代防震减灾事业现代化评价相结合，</w:t>
      </w:r>
      <w:r>
        <w:rPr>
          <w:rFonts w:hint="eastAsia" w:ascii="仿宋_GB2312"/>
          <w:szCs w:val="32"/>
        </w:rPr>
        <w:t>开展规划实施情况动态监测、中期评估和总结评估，</w:t>
      </w:r>
      <w:r>
        <w:rPr>
          <w:rFonts w:hint="eastAsia" w:ascii="仿宋_GB2312" w:cs="仿宋_GB2312"/>
          <w:szCs w:val="32"/>
        </w:rPr>
        <w:t>加强评估结果的应用，将</w:t>
      </w:r>
      <w:r>
        <w:rPr>
          <w:rFonts w:hint="eastAsia" w:ascii="仿宋_GB2312"/>
          <w:szCs w:val="32"/>
        </w:rPr>
        <w:t>规划实施情况纳入年度评价体系，</w:t>
      </w:r>
      <w:r>
        <w:rPr>
          <w:rFonts w:hint="eastAsia" w:ascii="仿宋_GB2312" w:cs="仿宋_GB2312"/>
          <w:szCs w:val="32"/>
        </w:rPr>
        <w:t>促进规划目标任务的全面实现。</w:t>
      </w:r>
    </w:p>
    <w:p>
      <w:pPr>
        <w:spacing w:line="560" w:lineRule="exact"/>
        <w:ind w:firstLine="628" w:firstLineChars="200"/>
        <w:rPr>
          <w:rFonts w:hint="eastAsia" w:ascii="仿宋_GB2312" w:cs="仿宋_GB2312"/>
          <w:szCs w:val="32"/>
        </w:rPr>
      </w:pPr>
    </w:p>
    <w:p>
      <w:pPr>
        <w:widowControl/>
        <w:spacing w:line="570" w:lineRule="exact"/>
        <w:rPr>
          <w:rFonts w:ascii="仿宋_GB2312" w:hAnsi="方正小标宋简体" w:cs="方正小标宋简体"/>
          <w:bCs/>
          <w:szCs w:val="32"/>
        </w:rPr>
      </w:pPr>
      <w:r>
        <w:rPr>
          <w:rFonts w:hint="eastAsia" w:ascii="仿宋_GB2312" w:hAnsi="方正小标宋简体" w:cs="方正小标宋简体"/>
          <w:bCs/>
          <w:szCs w:val="32"/>
        </w:rPr>
        <w:t>(本文</w:t>
      </w:r>
      <w:r>
        <w:rPr>
          <w:rFonts w:hint="eastAsia" w:ascii="仿宋_GB2312" w:hAnsi="方正小标宋简体" w:cs="方正小标宋简体"/>
          <w:bCs/>
          <w:szCs w:val="32"/>
          <w:lang w:eastAsia="zh-CN"/>
        </w:rPr>
        <w:t>发布时</w:t>
      </w:r>
      <w:r>
        <w:rPr>
          <w:rFonts w:hint="eastAsia" w:ascii="仿宋_GB2312" w:hAnsi="方正小标宋简体" w:cs="方正小标宋简体"/>
          <w:bCs/>
          <w:szCs w:val="32"/>
        </w:rPr>
        <w:t>有删减)</w:t>
      </w:r>
    </w:p>
    <w:p>
      <w:pPr>
        <w:spacing w:line="560" w:lineRule="exact"/>
        <w:ind w:firstLine="628" w:firstLineChars="200"/>
        <w:rPr>
          <w:rFonts w:hint="eastAsia" w:ascii="仿宋_GB2312" w:cs="仿宋_GB2312"/>
          <w:szCs w:val="32"/>
        </w:rPr>
      </w:pPr>
    </w:p>
    <w:sectPr>
      <w:footerReference r:id="rId8" w:type="first"/>
      <w:headerReference r:id="rId5" w:type="default"/>
      <w:footerReference r:id="rId6" w:type="default"/>
      <w:footerReference r:id="rId7" w:type="even"/>
      <w:type w:val="continuous"/>
      <w:pgSz w:w="11906" w:h="16838"/>
      <w:pgMar w:top="1984" w:right="1474" w:bottom="1701" w:left="1588" w:header="851" w:footer="283" w:gutter="0"/>
      <w:pgNumType w:start="1"/>
      <w:cols w:space="0" w:num="1"/>
      <w:docGrid w:type="linesAndChars" w:linePitch="590"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仿宋_GBK">
    <w:panose1 w:val="02000000000000000000"/>
    <w:charset w:val="86"/>
    <w:family w:val="script"/>
    <w:pitch w:val="default"/>
    <w:sig w:usb0="00000001" w:usb1="08000000" w:usb2="00000000" w:usb3="00000000" w:csb0="00040000" w:csb1="00000000"/>
  </w:font>
  <w:font w:name="Dotum">
    <w:panose1 w:val="020B0600000101010101"/>
    <w:charset w:val="81"/>
    <w:family w:val="modern"/>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cs="宋体"/>
        <w:sz w:val="28"/>
        <w:szCs w:val="28"/>
      </w:rPr>
      <w:id w:val="726266058"/>
    </w:sdtPr>
    <w:sdtEndPr>
      <w:rPr>
        <w:rFonts w:hint="eastAsia" w:ascii="宋体" w:hAnsi="宋体" w:cs="宋体"/>
        <w:sz w:val="32"/>
        <w:szCs w:val="32"/>
      </w:rPr>
    </w:sdtEndPr>
    <w:sdtContent>
      <w:p>
        <w:pPr>
          <w:pStyle w:val="6"/>
          <w:jc w:val="center"/>
          <w:rPr>
            <w:rFonts w:ascii="宋体" w:hAnsi="宋体"/>
            <w:sz w:val="32"/>
            <w:szCs w:val="32"/>
          </w:rPr>
        </w:pP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ascii="宋体" w:hAnsi="宋体" w:cs="宋体"/>
            <w:sz w:val="28"/>
            <w:szCs w:val="28"/>
            <w:lang w:val="zh-CN"/>
          </w:rPr>
          <w:t>3</w:t>
        </w:r>
        <w:r>
          <w:rPr>
            <w:rFonts w:hint="eastAsia" w:ascii="宋体" w:hAnsi="宋体" w:cs="宋体"/>
            <w:sz w:val="28"/>
            <w:szCs w:val="28"/>
          </w:rPr>
          <w:fldChar w:fldCharType="end"/>
        </w:r>
      </w:p>
    </w:sdtContent>
  </w:sdt>
  <w:p>
    <w:pPr>
      <w:pStyle w:val="6"/>
      <w:spacing w:after="528" w:afterLines="220" w:line="432" w:lineRule="auto"/>
      <w:ind w:left="308" w:leftChars="1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1274248"/>
    </w:sdtPr>
    <w:sdtEndPr>
      <w:rPr>
        <w:rFonts w:ascii="宋体" w:hAnsi="宋体"/>
        <w:sz w:val="32"/>
        <w:szCs w:val="32"/>
      </w:rPr>
    </w:sdtEndPr>
    <w:sdtContent>
      <w:p>
        <w:pPr>
          <w:pStyle w:val="6"/>
          <w:jc w:val="center"/>
          <w:rPr>
            <w:rFonts w:ascii="宋体" w:hAnsi="宋体"/>
            <w:sz w:val="32"/>
            <w:szCs w:val="32"/>
          </w:rPr>
        </w:pPr>
        <w:r>
          <w:rPr>
            <w:rFonts w:ascii="宋体" w:hAnsi="宋体"/>
            <w:sz w:val="32"/>
            <w:szCs w:val="32"/>
          </w:rPr>
          <w:fldChar w:fldCharType="begin"/>
        </w:r>
        <w:r>
          <w:rPr>
            <w:rFonts w:ascii="宋体" w:hAnsi="宋体"/>
            <w:sz w:val="32"/>
            <w:szCs w:val="32"/>
          </w:rPr>
          <w:instrText xml:space="preserve">PAGE   \* MERGEFORMAT</w:instrText>
        </w:r>
        <w:r>
          <w:rPr>
            <w:rFonts w:ascii="宋体" w:hAnsi="宋体"/>
            <w:sz w:val="32"/>
            <w:szCs w:val="32"/>
          </w:rPr>
          <w:fldChar w:fldCharType="separate"/>
        </w:r>
        <w:r>
          <w:rPr>
            <w:rFonts w:ascii="宋体" w:hAnsi="宋体"/>
            <w:sz w:val="32"/>
            <w:szCs w:val="32"/>
            <w:lang w:val="zh-CN"/>
          </w:rPr>
          <w:t>4</w:t>
        </w:r>
        <w:r>
          <w:rPr>
            <w:rFonts w:ascii="宋体" w:hAnsi="宋体"/>
            <w:sz w:val="32"/>
            <w:szCs w:val="32"/>
          </w:rPr>
          <w:fldChar w:fldCharType="end"/>
        </w:r>
      </w:p>
    </w:sdtContent>
  </w:sdt>
  <w:p>
    <w:pPr>
      <w:pStyle w:val="6"/>
      <w:spacing w:after="528" w:afterLines="220" w:line="432" w:lineRule="auto"/>
      <w:ind w:left="308" w:leftChars="1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after="120" w:afterLines="50" w:line="16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chineseCountingThousand"/>
      <w:pStyle w:val="20"/>
      <w:suff w:val="space"/>
      <w:lvlText w:val="第%1章"/>
      <w:lvlJc w:val="left"/>
      <w:pPr>
        <w:ind w:left="0" w:firstLine="454"/>
      </w:pPr>
      <w:rPr>
        <w:rFonts w:hint="eastAsia" w:eastAsia="方正黑体_GBK"/>
        <w:color w:val="auto"/>
      </w:rPr>
    </w:lvl>
    <w:lvl w:ilvl="1" w:tentative="0">
      <w:start w:val="1"/>
      <w:numFmt w:val="chineseCountingThousand"/>
      <w:suff w:val="space"/>
      <w:lvlText w:val="第%2条"/>
      <w:lvlJc w:val="left"/>
      <w:pPr>
        <w:ind w:left="0" w:firstLine="0"/>
      </w:pPr>
      <w:rPr>
        <w:rFonts w:hint="eastAsia" w:eastAsia="方正黑体_GBK"/>
        <w:color w:val="auto"/>
      </w:rPr>
    </w:lvl>
    <w:lvl w:ilvl="2" w:tentative="0">
      <w:start w:val="1"/>
      <w:numFmt w:val="chineseCountingThousand"/>
      <w:suff w:val="space"/>
      <w:lvlText w:val="第%3条"/>
      <w:lvlJc w:val="left"/>
      <w:pPr>
        <w:ind w:left="0" w:firstLine="454"/>
      </w:pPr>
      <w:rPr>
        <w:rFonts w:hint="eastAsia"/>
        <w:color w:val="auto"/>
      </w:rPr>
    </w:lvl>
    <w:lvl w:ilvl="3" w:tentative="0">
      <w:start w:val="1"/>
      <w:numFmt w:val="chineseCountingThousand"/>
      <w:suff w:val="space"/>
      <w:lvlText w:val="（%4）"/>
      <w:lvlJc w:val="left"/>
      <w:pPr>
        <w:ind w:left="0" w:firstLine="340"/>
      </w:pPr>
      <w:rPr>
        <w:rFonts w:hint="eastAsia"/>
        <w:color w:val="auto"/>
      </w:rPr>
    </w:lvl>
    <w:lvl w:ilvl="4" w:tentative="0">
      <w:start w:val="1"/>
      <w:numFmt w:val="decimal"/>
      <w:suff w:val="space"/>
      <w:lvlText w:val="%5．"/>
      <w:lvlJc w:val="left"/>
      <w:pPr>
        <w:ind w:left="0" w:firstLine="454"/>
      </w:pPr>
      <w:rPr>
        <w:rFonts w:hint="eastAsia"/>
        <w:color w:val="auto"/>
      </w:rPr>
    </w:lvl>
    <w:lvl w:ilvl="5" w:tentative="0">
      <w:start w:val="1"/>
      <w:numFmt w:val="decimal"/>
      <w:suff w:val="space"/>
      <w:lvlText w:val="（%6）"/>
      <w:lvlJc w:val="left"/>
      <w:pPr>
        <w:ind w:left="0" w:firstLine="340"/>
      </w:pPr>
      <w:rPr>
        <w:rFonts w:hint="eastAsia"/>
        <w:color w:val="auto"/>
      </w:rPr>
    </w:lvl>
    <w:lvl w:ilvl="6" w:tentative="0">
      <w:start w:val="1"/>
      <w:numFmt w:val="decimalEnclosedCircle"/>
      <w:suff w:val="space"/>
      <w:lvlText w:val="%7 "/>
      <w:lvlJc w:val="left"/>
      <w:pPr>
        <w:ind w:left="0" w:firstLine="454"/>
      </w:pPr>
      <w:rPr>
        <w:rFonts w:hint="eastAsia"/>
        <w:color w:val="auto"/>
      </w:rPr>
    </w:lvl>
    <w:lvl w:ilvl="7" w:tentative="0">
      <w:start w:val="1"/>
      <w:numFmt w:val="decimal"/>
      <w:suff w:val="space"/>
      <w:lvlText w:val="%8）"/>
      <w:lvlJc w:val="left"/>
      <w:pPr>
        <w:ind w:left="0" w:firstLine="454"/>
      </w:pPr>
      <w:rPr>
        <w:rFonts w:hint="eastAsia"/>
        <w:color w:val="auto"/>
      </w:rPr>
    </w:lvl>
    <w:lvl w:ilvl="8" w:tentative="0">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evenAndOddHeaders w:val="true"/>
  <w:drawingGridHorizontalSpacing w:val="157"/>
  <w:drawingGridVerticalSpacing w:val="295"/>
  <w:doNotShadeFormData w:val="true"/>
  <w:noPunctuationKerning w:val="true"/>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7B3"/>
    <w:rsid w:val="00004EB8"/>
    <w:rsid w:val="000054A7"/>
    <w:rsid w:val="000137F4"/>
    <w:rsid w:val="00014546"/>
    <w:rsid w:val="00015F7F"/>
    <w:rsid w:val="00017D7D"/>
    <w:rsid w:val="0002356E"/>
    <w:rsid w:val="00023F6A"/>
    <w:rsid w:val="00025735"/>
    <w:rsid w:val="000376FA"/>
    <w:rsid w:val="00040446"/>
    <w:rsid w:val="000410B6"/>
    <w:rsid w:val="00041963"/>
    <w:rsid w:val="00042CB4"/>
    <w:rsid w:val="00045B87"/>
    <w:rsid w:val="0005049E"/>
    <w:rsid w:val="00054EC4"/>
    <w:rsid w:val="00056067"/>
    <w:rsid w:val="000610A3"/>
    <w:rsid w:val="00061FAB"/>
    <w:rsid w:val="000621EE"/>
    <w:rsid w:val="0007204F"/>
    <w:rsid w:val="00084F92"/>
    <w:rsid w:val="00087D5F"/>
    <w:rsid w:val="000912CA"/>
    <w:rsid w:val="00091FD7"/>
    <w:rsid w:val="00097E05"/>
    <w:rsid w:val="000A18AC"/>
    <w:rsid w:val="000A3AA8"/>
    <w:rsid w:val="000A40F4"/>
    <w:rsid w:val="000B4AF7"/>
    <w:rsid w:val="000B67AC"/>
    <w:rsid w:val="000B748F"/>
    <w:rsid w:val="000C44CC"/>
    <w:rsid w:val="000C49CD"/>
    <w:rsid w:val="000C4A3C"/>
    <w:rsid w:val="000C5822"/>
    <w:rsid w:val="000C7ABC"/>
    <w:rsid w:val="000D0A3A"/>
    <w:rsid w:val="000D7493"/>
    <w:rsid w:val="000E1110"/>
    <w:rsid w:val="000E1FC8"/>
    <w:rsid w:val="000E3F59"/>
    <w:rsid w:val="000E4159"/>
    <w:rsid w:val="000E5CB4"/>
    <w:rsid w:val="000F0162"/>
    <w:rsid w:val="000F0661"/>
    <w:rsid w:val="000F08D2"/>
    <w:rsid w:val="000F1AF1"/>
    <w:rsid w:val="000F1ECC"/>
    <w:rsid w:val="000F641E"/>
    <w:rsid w:val="000F79EB"/>
    <w:rsid w:val="0010269F"/>
    <w:rsid w:val="00106D60"/>
    <w:rsid w:val="001114CA"/>
    <w:rsid w:val="00111836"/>
    <w:rsid w:val="00112539"/>
    <w:rsid w:val="00121192"/>
    <w:rsid w:val="00121FF1"/>
    <w:rsid w:val="00126107"/>
    <w:rsid w:val="001262F4"/>
    <w:rsid w:val="00131746"/>
    <w:rsid w:val="0013200C"/>
    <w:rsid w:val="00132C7A"/>
    <w:rsid w:val="00133CD9"/>
    <w:rsid w:val="0014277D"/>
    <w:rsid w:val="00144F2B"/>
    <w:rsid w:val="00147AC1"/>
    <w:rsid w:val="00154421"/>
    <w:rsid w:val="001608CD"/>
    <w:rsid w:val="00162EB3"/>
    <w:rsid w:val="00172A27"/>
    <w:rsid w:val="001818BE"/>
    <w:rsid w:val="00181D9E"/>
    <w:rsid w:val="00184152"/>
    <w:rsid w:val="00185F07"/>
    <w:rsid w:val="001870B1"/>
    <w:rsid w:val="00187971"/>
    <w:rsid w:val="0019212E"/>
    <w:rsid w:val="0019268A"/>
    <w:rsid w:val="00194574"/>
    <w:rsid w:val="001953AB"/>
    <w:rsid w:val="00196D23"/>
    <w:rsid w:val="00197645"/>
    <w:rsid w:val="001A3203"/>
    <w:rsid w:val="001A6F66"/>
    <w:rsid w:val="001A70C7"/>
    <w:rsid w:val="001B0188"/>
    <w:rsid w:val="001B02C8"/>
    <w:rsid w:val="001B1192"/>
    <w:rsid w:val="001B19AB"/>
    <w:rsid w:val="001B2B97"/>
    <w:rsid w:val="001B5504"/>
    <w:rsid w:val="001B6F25"/>
    <w:rsid w:val="001B7E0E"/>
    <w:rsid w:val="001C347A"/>
    <w:rsid w:val="001C37DC"/>
    <w:rsid w:val="001C78CB"/>
    <w:rsid w:val="001D0366"/>
    <w:rsid w:val="001D54F5"/>
    <w:rsid w:val="001D59A7"/>
    <w:rsid w:val="001D5EAD"/>
    <w:rsid w:val="001D7141"/>
    <w:rsid w:val="001E5096"/>
    <w:rsid w:val="001E755E"/>
    <w:rsid w:val="001F115F"/>
    <w:rsid w:val="001F4766"/>
    <w:rsid w:val="001F5417"/>
    <w:rsid w:val="00200A9F"/>
    <w:rsid w:val="0020222E"/>
    <w:rsid w:val="00210CBF"/>
    <w:rsid w:val="002148F5"/>
    <w:rsid w:val="002177E3"/>
    <w:rsid w:val="00220B51"/>
    <w:rsid w:val="002220F2"/>
    <w:rsid w:val="00222EE4"/>
    <w:rsid w:val="00223170"/>
    <w:rsid w:val="0022484B"/>
    <w:rsid w:val="00235D4F"/>
    <w:rsid w:val="002442D7"/>
    <w:rsid w:val="00247325"/>
    <w:rsid w:val="002615B7"/>
    <w:rsid w:val="0026177F"/>
    <w:rsid w:val="00264F29"/>
    <w:rsid w:val="0027208B"/>
    <w:rsid w:val="00272A22"/>
    <w:rsid w:val="00276B82"/>
    <w:rsid w:val="00280359"/>
    <w:rsid w:val="00280619"/>
    <w:rsid w:val="00280C24"/>
    <w:rsid w:val="00292C5E"/>
    <w:rsid w:val="00295545"/>
    <w:rsid w:val="00297723"/>
    <w:rsid w:val="002A1967"/>
    <w:rsid w:val="002A442D"/>
    <w:rsid w:val="002A520C"/>
    <w:rsid w:val="002A7594"/>
    <w:rsid w:val="002B3E40"/>
    <w:rsid w:val="002B6B25"/>
    <w:rsid w:val="002D441A"/>
    <w:rsid w:val="002E166F"/>
    <w:rsid w:val="002E26C0"/>
    <w:rsid w:val="002E2D21"/>
    <w:rsid w:val="002E457D"/>
    <w:rsid w:val="002E7108"/>
    <w:rsid w:val="002F0B71"/>
    <w:rsid w:val="002F1B71"/>
    <w:rsid w:val="002F4FA0"/>
    <w:rsid w:val="0030280E"/>
    <w:rsid w:val="00304B56"/>
    <w:rsid w:val="00304FC6"/>
    <w:rsid w:val="00306220"/>
    <w:rsid w:val="00306FE5"/>
    <w:rsid w:val="003113F5"/>
    <w:rsid w:val="00311938"/>
    <w:rsid w:val="0031384E"/>
    <w:rsid w:val="00314E12"/>
    <w:rsid w:val="00315216"/>
    <w:rsid w:val="00315A96"/>
    <w:rsid w:val="0031719C"/>
    <w:rsid w:val="003207EF"/>
    <w:rsid w:val="00323310"/>
    <w:rsid w:val="003249B7"/>
    <w:rsid w:val="00332B31"/>
    <w:rsid w:val="00332E3A"/>
    <w:rsid w:val="00334D15"/>
    <w:rsid w:val="003350C2"/>
    <w:rsid w:val="0033520A"/>
    <w:rsid w:val="00336347"/>
    <w:rsid w:val="003373A6"/>
    <w:rsid w:val="00341634"/>
    <w:rsid w:val="00343D4C"/>
    <w:rsid w:val="00346A1F"/>
    <w:rsid w:val="00346AAD"/>
    <w:rsid w:val="003478F2"/>
    <w:rsid w:val="00353E11"/>
    <w:rsid w:val="00354D7C"/>
    <w:rsid w:val="003607FE"/>
    <w:rsid w:val="0036232F"/>
    <w:rsid w:val="0036350C"/>
    <w:rsid w:val="00370B06"/>
    <w:rsid w:val="00374A2C"/>
    <w:rsid w:val="003817E7"/>
    <w:rsid w:val="00386A56"/>
    <w:rsid w:val="00386CFE"/>
    <w:rsid w:val="00392FE6"/>
    <w:rsid w:val="003956AC"/>
    <w:rsid w:val="00395922"/>
    <w:rsid w:val="00395D9F"/>
    <w:rsid w:val="003A1EEB"/>
    <w:rsid w:val="003A2029"/>
    <w:rsid w:val="003A3B4A"/>
    <w:rsid w:val="003A3DFA"/>
    <w:rsid w:val="003A4442"/>
    <w:rsid w:val="003A4DEC"/>
    <w:rsid w:val="003A50C2"/>
    <w:rsid w:val="003B056F"/>
    <w:rsid w:val="003B181B"/>
    <w:rsid w:val="003B19CE"/>
    <w:rsid w:val="003B3D95"/>
    <w:rsid w:val="003C12EC"/>
    <w:rsid w:val="003C207E"/>
    <w:rsid w:val="003C252A"/>
    <w:rsid w:val="003C5205"/>
    <w:rsid w:val="003C6057"/>
    <w:rsid w:val="003D03D5"/>
    <w:rsid w:val="003D03F8"/>
    <w:rsid w:val="003D17D3"/>
    <w:rsid w:val="003D2467"/>
    <w:rsid w:val="003D4A64"/>
    <w:rsid w:val="003D649F"/>
    <w:rsid w:val="003E40F1"/>
    <w:rsid w:val="003E4535"/>
    <w:rsid w:val="003E5B82"/>
    <w:rsid w:val="003F61C0"/>
    <w:rsid w:val="003F6219"/>
    <w:rsid w:val="003F796C"/>
    <w:rsid w:val="004013AC"/>
    <w:rsid w:val="00403A48"/>
    <w:rsid w:val="004056FE"/>
    <w:rsid w:val="00407F9E"/>
    <w:rsid w:val="0041064A"/>
    <w:rsid w:val="00410C1E"/>
    <w:rsid w:val="004146A0"/>
    <w:rsid w:val="004157CF"/>
    <w:rsid w:val="00417B25"/>
    <w:rsid w:val="004218FD"/>
    <w:rsid w:val="00423148"/>
    <w:rsid w:val="004243F2"/>
    <w:rsid w:val="00426C56"/>
    <w:rsid w:val="00426D71"/>
    <w:rsid w:val="0043030B"/>
    <w:rsid w:val="00430E5E"/>
    <w:rsid w:val="0043487C"/>
    <w:rsid w:val="004402DC"/>
    <w:rsid w:val="00442056"/>
    <w:rsid w:val="00443513"/>
    <w:rsid w:val="00445C5E"/>
    <w:rsid w:val="00446594"/>
    <w:rsid w:val="00450993"/>
    <w:rsid w:val="00451EA7"/>
    <w:rsid w:val="0045347D"/>
    <w:rsid w:val="00460791"/>
    <w:rsid w:val="0046189D"/>
    <w:rsid w:val="0046328C"/>
    <w:rsid w:val="00463C14"/>
    <w:rsid w:val="0046490D"/>
    <w:rsid w:val="00466700"/>
    <w:rsid w:val="00470949"/>
    <w:rsid w:val="0047256C"/>
    <w:rsid w:val="00472FE8"/>
    <w:rsid w:val="00480513"/>
    <w:rsid w:val="00480AB6"/>
    <w:rsid w:val="004832DE"/>
    <w:rsid w:val="0048683D"/>
    <w:rsid w:val="00486AB1"/>
    <w:rsid w:val="00487C6A"/>
    <w:rsid w:val="004917E7"/>
    <w:rsid w:val="00493A51"/>
    <w:rsid w:val="00494F94"/>
    <w:rsid w:val="004962FB"/>
    <w:rsid w:val="00496A8E"/>
    <w:rsid w:val="00497607"/>
    <w:rsid w:val="004A0760"/>
    <w:rsid w:val="004A0880"/>
    <w:rsid w:val="004A1F21"/>
    <w:rsid w:val="004A20BD"/>
    <w:rsid w:val="004A2BF2"/>
    <w:rsid w:val="004A2FBD"/>
    <w:rsid w:val="004A42F1"/>
    <w:rsid w:val="004A4D69"/>
    <w:rsid w:val="004B124C"/>
    <w:rsid w:val="004B1B88"/>
    <w:rsid w:val="004B64F4"/>
    <w:rsid w:val="004C0747"/>
    <w:rsid w:val="004C1BEB"/>
    <w:rsid w:val="004C70D3"/>
    <w:rsid w:val="004D06C8"/>
    <w:rsid w:val="004D1CC4"/>
    <w:rsid w:val="004D4CDD"/>
    <w:rsid w:val="004D6E5C"/>
    <w:rsid w:val="004E7733"/>
    <w:rsid w:val="004F2EF6"/>
    <w:rsid w:val="004F300D"/>
    <w:rsid w:val="00501975"/>
    <w:rsid w:val="0050326B"/>
    <w:rsid w:val="00506298"/>
    <w:rsid w:val="00506870"/>
    <w:rsid w:val="005070D9"/>
    <w:rsid w:val="00513633"/>
    <w:rsid w:val="005201C0"/>
    <w:rsid w:val="00520CA0"/>
    <w:rsid w:val="005215CD"/>
    <w:rsid w:val="00521A59"/>
    <w:rsid w:val="00522FA1"/>
    <w:rsid w:val="005239FA"/>
    <w:rsid w:val="00523CEB"/>
    <w:rsid w:val="00531AC4"/>
    <w:rsid w:val="00532EF8"/>
    <w:rsid w:val="00534EDC"/>
    <w:rsid w:val="005359D9"/>
    <w:rsid w:val="0053618D"/>
    <w:rsid w:val="00541A08"/>
    <w:rsid w:val="0054420E"/>
    <w:rsid w:val="005451D4"/>
    <w:rsid w:val="00545AA0"/>
    <w:rsid w:val="00547A9E"/>
    <w:rsid w:val="00547E47"/>
    <w:rsid w:val="00550E2B"/>
    <w:rsid w:val="00551F55"/>
    <w:rsid w:val="0055538D"/>
    <w:rsid w:val="00557783"/>
    <w:rsid w:val="00561D77"/>
    <w:rsid w:val="00561F95"/>
    <w:rsid w:val="005643DD"/>
    <w:rsid w:val="005757C3"/>
    <w:rsid w:val="005765E5"/>
    <w:rsid w:val="00576A7A"/>
    <w:rsid w:val="005804EA"/>
    <w:rsid w:val="0058260E"/>
    <w:rsid w:val="00583652"/>
    <w:rsid w:val="005849CD"/>
    <w:rsid w:val="0058518D"/>
    <w:rsid w:val="00585B26"/>
    <w:rsid w:val="005920D7"/>
    <w:rsid w:val="00593CE7"/>
    <w:rsid w:val="00593E27"/>
    <w:rsid w:val="005971AF"/>
    <w:rsid w:val="005A00F6"/>
    <w:rsid w:val="005A316D"/>
    <w:rsid w:val="005A5C68"/>
    <w:rsid w:val="005A68C8"/>
    <w:rsid w:val="005A6D3A"/>
    <w:rsid w:val="005B1726"/>
    <w:rsid w:val="005B2F0D"/>
    <w:rsid w:val="005B5788"/>
    <w:rsid w:val="005C251D"/>
    <w:rsid w:val="005C386E"/>
    <w:rsid w:val="005C3BD3"/>
    <w:rsid w:val="005C4494"/>
    <w:rsid w:val="005D1090"/>
    <w:rsid w:val="005D35A9"/>
    <w:rsid w:val="005E25C3"/>
    <w:rsid w:val="005E4FD5"/>
    <w:rsid w:val="005E6992"/>
    <w:rsid w:val="005E70EC"/>
    <w:rsid w:val="005F0521"/>
    <w:rsid w:val="005F38B9"/>
    <w:rsid w:val="005F3CA3"/>
    <w:rsid w:val="005F3D0F"/>
    <w:rsid w:val="005F59DB"/>
    <w:rsid w:val="00605BBB"/>
    <w:rsid w:val="006072D4"/>
    <w:rsid w:val="00612A48"/>
    <w:rsid w:val="006142C8"/>
    <w:rsid w:val="0061446A"/>
    <w:rsid w:val="00615FB2"/>
    <w:rsid w:val="00616525"/>
    <w:rsid w:val="0062051F"/>
    <w:rsid w:val="006263F6"/>
    <w:rsid w:val="006269FB"/>
    <w:rsid w:val="00631A51"/>
    <w:rsid w:val="00634123"/>
    <w:rsid w:val="00636CC7"/>
    <w:rsid w:val="00640D90"/>
    <w:rsid w:val="00641E0C"/>
    <w:rsid w:val="00644918"/>
    <w:rsid w:val="00646025"/>
    <w:rsid w:val="0065373D"/>
    <w:rsid w:val="00654561"/>
    <w:rsid w:val="00666209"/>
    <w:rsid w:val="006662F2"/>
    <w:rsid w:val="006804CC"/>
    <w:rsid w:val="00692D93"/>
    <w:rsid w:val="0069349C"/>
    <w:rsid w:val="00696A8E"/>
    <w:rsid w:val="006A19CF"/>
    <w:rsid w:val="006A2E8A"/>
    <w:rsid w:val="006B0847"/>
    <w:rsid w:val="006B4869"/>
    <w:rsid w:val="006B789B"/>
    <w:rsid w:val="006C4EBA"/>
    <w:rsid w:val="006C685F"/>
    <w:rsid w:val="006D15BD"/>
    <w:rsid w:val="006D3FD1"/>
    <w:rsid w:val="006D6C80"/>
    <w:rsid w:val="006E48E7"/>
    <w:rsid w:val="006E6CA8"/>
    <w:rsid w:val="006F3FF3"/>
    <w:rsid w:val="007023FB"/>
    <w:rsid w:val="00702C2A"/>
    <w:rsid w:val="00705581"/>
    <w:rsid w:val="00705AAB"/>
    <w:rsid w:val="00710797"/>
    <w:rsid w:val="00712836"/>
    <w:rsid w:val="007148A5"/>
    <w:rsid w:val="007213DC"/>
    <w:rsid w:val="00721DD2"/>
    <w:rsid w:val="007224FE"/>
    <w:rsid w:val="00723FD1"/>
    <w:rsid w:val="007261B7"/>
    <w:rsid w:val="0073136C"/>
    <w:rsid w:val="00731794"/>
    <w:rsid w:val="00741AED"/>
    <w:rsid w:val="00741FE0"/>
    <w:rsid w:val="007420B0"/>
    <w:rsid w:val="00742C34"/>
    <w:rsid w:val="007439CC"/>
    <w:rsid w:val="00743C63"/>
    <w:rsid w:val="00744E2F"/>
    <w:rsid w:val="00747638"/>
    <w:rsid w:val="00747926"/>
    <w:rsid w:val="0075080C"/>
    <w:rsid w:val="00751E34"/>
    <w:rsid w:val="0075315A"/>
    <w:rsid w:val="00755E57"/>
    <w:rsid w:val="00762A9F"/>
    <w:rsid w:val="00764747"/>
    <w:rsid w:val="00765046"/>
    <w:rsid w:val="007652FA"/>
    <w:rsid w:val="00766EDC"/>
    <w:rsid w:val="00767228"/>
    <w:rsid w:val="007705C5"/>
    <w:rsid w:val="007750BB"/>
    <w:rsid w:val="0077643F"/>
    <w:rsid w:val="007800F8"/>
    <w:rsid w:val="0078073B"/>
    <w:rsid w:val="0078073E"/>
    <w:rsid w:val="0078198A"/>
    <w:rsid w:val="007863EB"/>
    <w:rsid w:val="0079091A"/>
    <w:rsid w:val="007919E4"/>
    <w:rsid w:val="00792697"/>
    <w:rsid w:val="00793E55"/>
    <w:rsid w:val="00795A74"/>
    <w:rsid w:val="00796C9B"/>
    <w:rsid w:val="007A0584"/>
    <w:rsid w:val="007A2C43"/>
    <w:rsid w:val="007A4500"/>
    <w:rsid w:val="007A4CFC"/>
    <w:rsid w:val="007A727A"/>
    <w:rsid w:val="007B1D71"/>
    <w:rsid w:val="007B1F7A"/>
    <w:rsid w:val="007B233E"/>
    <w:rsid w:val="007B46B6"/>
    <w:rsid w:val="007C3B33"/>
    <w:rsid w:val="007C472B"/>
    <w:rsid w:val="007D3E71"/>
    <w:rsid w:val="007D4412"/>
    <w:rsid w:val="007D5BFF"/>
    <w:rsid w:val="007E051B"/>
    <w:rsid w:val="007E21D3"/>
    <w:rsid w:val="007E388E"/>
    <w:rsid w:val="007E510A"/>
    <w:rsid w:val="007E6394"/>
    <w:rsid w:val="007E63EC"/>
    <w:rsid w:val="007E790C"/>
    <w:rsid w:val="007F205A"/>
    <w:rsid w:val="007F2657"/>
    <w:rsid w:val="007F36A5"/>
    <w:rsid w:val="007F5C1D"/>
    <w:rsid w:val="0080068F"/>
    <w:rsid w:val="00800906"/>
    <w:rsid w:val="00804771"/>
    <w:rsid w:val="008066A5"/>
    <w:rsid w:val="00811D09"/>
    <w:rsid w:val="00814C62"/>
    <w:rsid w:val="00820CDC"/>
    <w:rsid w:val="00822E8F"/>
    <w:rsid w:val="00825E72"/>
    <w:rsid w:val="00826DB1"/>
    <w:rsid w:val="00831354"/>
    <w:rsid w:val="008321D5"/>
    <w:rsid w:val="008323C5"/>
    <w:rsid w:val="008418BF"/>
    <w:rsid w:val="00843280"/>
    <w:rsid w:val="008437F9"/>
    <w:rsid w:val="00843944"/>
    <w:rsid w:val="008478E9"/>
    <w:rsid w:val="00850B76"/>
    <w:rsid w:val="00851C91"/>
    <w:rsid w:val="00855F0E"/>
    <w:rsid w:val="008562CE"/>
    <w:rsid w:val="00857581"/>
    <w:rsid w:val="00860C96"/>
    <w:rsid w:val="00865E27"/>
    <w:rsid w:val="008669EE"/>
    <w:rsid w:val="008719E5"/>
    <w:rsid w:val="008747C5"/>
    <w:rsid w:val="00880407"/>
    <w:rsid w:val="0088120B"/>
    <w:rsid w:val="00882D73"/>
    <w:rsid w:val="00883DCE"/>
    <w:rsid w:val="008866AC"/>
    <w:rsid w:val="00891535"/>
    <w:rsid w:val="00896F41"/>
    <w:rsid w:val="008A4D1D"/>
    <w:rsid w:val="008A5373"/>
    <w:rsid w:val="008B1FF8"/>
    <w:rsid w:val="008B75E5"/>
    <w:rsid w:val="008C2D7B"/>
    <w:rsid w:val="008C328F"/>
    <w:rsid w:val="008D5253"/>
    <w:rsid w:val="008D78E5"/>
    <w:rsid w:val="008E336A"/>
    <w:rsid w:val="008E5BEB"/>
    <w:rsid w:val="008E5DEA"/>
    <w:rsid w:val="008F0331"/>
    <w:rsid w:val="008F17CF"/>
    <w:rsid w:val="008F1892"/>
    <w:rsid w:val="008F2343"/>
    <w:rsid w:val="008F28B1"/>
    <w:rsid w:val="00900305"/>
    <w:rsid w:val="00900866"/>
    <w:rsid w:val="009053FC"/>
    <w:rsid w:val="009064AA"/>
    <w:rsid w:val="009122B0"/>
    <w:rsid w:val="00914881"/>
    <w:rsid w:val="0092308C"/>
    <w:rsid w:val="0092722E"/>
    <w:rsid w:val="00941C0C"/>
    <w:rsid w:val="00941EB0"/>
    <w:rsid w:val="00942A59"/>
    <w:rsid w:val="0094506A"/>
    <w:rsid w:val="00946BFB"/>
    <w:rsid w:val="00951EA0"/>
    <w:rsid w:val="009532CA"/>
    <w:rsid w:val="009558D3"/>
    <w:rsid w:val="00955BD8"/>
    <w:rsid w:val="00955EB7"/>
    <w:rsid w:val="0095735F"/>
    <w:rsid w:val="00960EED"/>
    <w:rsid w:val="00962D94"/>
    <w:rsid w:val="00964211"/>
    <w:rsid w:val="0096722F"/>
    <w:rsid w:val="009727C4"/>
    <w:rsid w:val="00973E09"/>
    <w:rsid w:val="00974EAB"/>
    <w:rsid w:val="00977485"/>
    <w:rsid w:val="0099047A"/>
    <w:rsid w:val="00993965"/>
    <w:rsid w:val="009A0D0A"/>
    <w:rsid w:val="009A12E2"/>
    <w:rsid w:val="009A40AE"/>
    <w:rsid w:val="009B1CB4"/>
    <w:rsid w:val="009B2218"/>
    <w:rsid w:val="009B4544"/>
    <w:rsid w:val="009B6B7D"/>
    <w:rsid w:val="009C2F58"/>
    <w:rsid w:val="009C435B"/>
    <w:rsid w:val="009C657A"/>
    <w:rsid w:val="009D28CD"/>
    <w:rsid w:val="009D5E5B"/>
    <w:rsid w:val="009E01D1"/>
    <w:rsid w:val="009E09AC"/>
    <w:rsid w:val="009E2B53"/>
    <w:rsid w:val="009F6673"/>
    <w:rsid w:val="00A113E8"/>
    <w:rsid w:val="00A12493"/>
    <w:rsid w:val="00A1382F"/>
    <w:rsid w:val="00A13F50"/>
    <w:rsid w:val="00A16F21"/>
    <w:rsid w:val="00A2067A"/>
    <w:rsid w:val="00A2121B"/>
    <w:rsid w:val="00A2448D"/>
    <w:rsid w:val="00A254E8"/>
    <w:rsid w:val="00A32788"/>
    <w:rsid w:val="00A33357"/>
    <w:rsid w:val="00A36A48"/>
    <w:rsid w:val="00A370A8"/>
    <w:rsid w:val="00A42C6D"/>
    <w:rsid w:val="00A43D31"/>
    <w:rsid w:val="00A4624B"/>
    <w:rsid w:val="00A47495"/>
    <w:rsid w:val="00A516CC"/>
    <w:rsid w:val="00A54DCA"/>
    <w:rsid w:val="00A561D1"/>
    <w:rsid w:val="00A56368"/>
    <w:rsid w:val="00A60232"/>
    <w:rsid w:val="00A61AAF"/>
    <w:rsid w:val="00A626B1"/>
    <w:rsid w:val="00A648E2"/>
    <w:rsid w:val="00A65054"/>
    <w:rsid w:val="00A65BC8"/>
    <w:rsid w:val="00A6680B"/>
    <w:rsid w:val="00A67DAB"/>
    <w:rsid w:val="00A7151C"/>
    <w:rsid w:val="00A7366B"/>
    <w:rsid w:val="00A777E4"/>
    <w:rsid w:val="00A80DF6"/>
    <w:rsid w:val="00A830E4"/>
    <w:rsid w:val="00A87250"/>
    <w:rsid w:val="00A914F6"/>
    <w:rsid w:val="00AA32CC"/>
    <w:rsid w:val="00AA348D"/>
    <w:rsid w:val="00AA3CC2"/>
    <w:rsid w:val="00AA60D6"/>
    <w:rsid w:val="00AA683E"/>
    <w:rsid w:val="00AB35FA"/>
    <w:rsid w:val="00AB4AC7"/>
    <w:rsid w:val="00AB7400"/>
    <w:rsid w:val="00AC016C"/>
    <w:rsid w:val="00AC02D1"/>
    <w:rsid w:val="00AC3CC4"/>
    <w:rsid w:val="00AC54A8"/>
    <w:rsid w:val="00AD0190"/>
    <w:rsid w:val="00AD0230"/>
    <w:rsid w:val="00AD1139"/>
    <w:rsid w:val="00AD3411"/>
    <w:rsid w:val="00AE12FF"/>
    <w:rsid w:val="00AE1570"/>
    <w:rsid w:val="00AE2F75"/>
    <w:rsid w:val="00AE61A6"/>
    <w:rsid w:val="00AF63D0"/>
    <w:rsid w:val="00B01778"/>
    <w:rsid w:val="00B03E29"/>
    <w:rsid w:val="00B03F90"/>
    <w:rsid w:val="00B04E2C"/>
    <w:rsid w:val="00B063CC"/>
    <w:rsid w:val="00B13AAE"/>
    <w:rsid w:val="00B13D1B"/>
    <w:rsid w:val="00B15C56"/>
    <w:rsid w:val="00B17106"/>
    <w:rsid w:val="00B22CC1"/>
    <w:rsid w:val="00B3578C"/>
    <w:rsid w:val="00B37315"/>
    <w:rsid w:val="00B37864"/>
    <w:rsid w:val="00B4041B"/>
    <w:rsid w:val="00B4219B"/>
    <w:rsid w:val="00B4302C"/>
    <w:rsid w:val="00B43CA0"/>
    <w:rsid w:val="00B45798"/>
    <w:rsid w:val="00B45BAE"/>
    <w:rsid w:val="00B5301A"/>
    <w:rsid w:val="00B55504"/>
    <w:rsid w:val="00B5589C"/>
    <w:rsid w:val="00B5656E"/>
    <w:rsid w:val="00B60ED3"/>
    <w:rsid w:val="00B61F60"/>
    <w:rsid w:val="00B624A6"/>
    <w:rsid w:val="00B649DF"/>
    <w:rsid w:val="00B66C6A"/>
    <w:rsid w:val="00B67419"/>
    <w:rsid w:val="00B70B0B"/>
    <w:rsid w:val="00B70C15"/>
    <w:rsid w:val="00B72B9E"/>
    <w:rsid w:val="00B761CD"/>
    <w:rsid w:val="00B779B9"/>
    <w:rsid w:val="00B81F28"/>
    <w:rsid w:val="00B82DE6"/>
    <w:rsid w:val="00B84342"/>
    <w:rsid w:val="00B84C9F"/>
    <w:rsid w:val="00B85035"/>
    <w:rsid w:val="00B85C7E"/>
    <w:rsid w:val="00B90E0C"/>
    <w:rsid w:val="00B95075"/>
    <w:rsid w:val="00B9762F"/>
    <w:rsid w:val="00BA52E7"/>
    <w:rsid w:val="00BA6C06"/>
    <w:rsid w:val="00BA7781"/>
    <w:rsid w:val="00BB1EBD"/>
    <w:rsid w:val="00BB23F3"/>
    <w:rsid w:val="00BB26CF"/>
    <w:rsid w:val="00BB5E32"/>
    <w:rsid w:val="00BB71FB"/>
    <w:rsid w:val="00BB799B"/>
    <w:rsid w:val="00BC3309"/>
    <w:rsid w:val="00BC61A1"/>
    <w:rsid w:val="00BD1E12"/>
    <w:rsid w:val="00BD3A19"/>
    <w:rsid w:val="00BD481A"/>
    <w:rsid w:val="00BE022C"/>
    <w:rsid w:val="00BE5433"/>
    <w:rsid w:val="00BE56D1"/>
    <w:rsid w:val="00BE6195"/>
    <w:rsid w:val="00BE6704"/>
    <w:rsid w:val="00BF0F8E"/>
    <w:rsid w:val="00BF165E"/>
    <w:rsid w:val="00BF4E4F"/>
    <w:rsid w:val="00C01246"/>
    <w:rsid w:val="00C02B3F"/>
    <w:rsid w:val="00C04B2F"/>
    <w:rsid w:val="00C064E8"/>
    <w:rsid w:val="00C07D63"/>
    <w:rsid w:val="00C15E07"/>
    <w:rsid w:val="00C1708E"/>
    <w:rsid w:val="00C22A7A"/>
    <w:rsid w:val="00C230A6"/>
    <w:rsid w:val="00C2670E"/>
    <w:rsid w:val="00C40044"/>
    <w:rsid w:val="00C44550"/>
    <w:rsid w:val="00C50B05"/>
    <w:rsid w:val="00C5226E"/>
    <w:rsid w:val="00C532B5"/>
    <w:rsid w:val="00C5349D"/>
    <w:rsid w:val="00C54B29"/>
    <w:rsid w:val="00C54D7C"/>
    <w:rsid w:val="00C6116D"/>
    <w:rsid w:val="00C641EB"/>
    <w:rsid w:val="00C64A75"/>
    <w:rsid w:val="00C65884"/>
    <w:rsid w:val="00C711BA"/>
    <w:rsid w:val="00C719D6"/>
    <w:rsid w:val="00C71ABD"/>
    <w:rsid w:val="00C72781"/>
    <w:rsid w:val="00C747BF"/>
    <w:rsid w:val="00C75011"/>
    <w:rsid w:val="00C757DC"/>
    <w:rsid w:val="00C84ADB"/>
    <w:rsid w:val="00C86EE0"/>
    <w:rsid w:val="00C86F23"/>
    <w:rsid w:val="00C9005A"/>
    <w:rsid w:val="00C90102"/>
    <w:rsid w:val="00C91029"/>
    <w:rsid w:val="00C93F9E"/>
    <w:rsid w:val="00C94CFE"/>
    <w:rsid w:val="00C963E3"/>
    <w:rsid w:val="00C96885"/>
    <w:rsid w:val="00C97117"/>
    <w:rsid w:val="00CA2A9A"/>
    <w:rsid w:val="00CA2D31"/>
    <w:rsid w:val="00CA4383"/>
    <w:rsid w:val="00CA5B2B"/>
    <w:rsid w:val="00CB0BCC"/>
    <w:rsid w:val="00CB1656"/>
    <w:rsid w:val="00CB1F26"/>
    <w:rsid w:val="00CB2ECF"/>
    <w:rsid w:val="00CB4676"/>
    <w:rsid w:val="00CC135F"/>
    <w:rsid w:val="00CC44B5"/>
    <w:rsid w:val="00CC45B1"/>
    <w:rsid w:val="00CC45BA"/>
    <w:rsid w:val="00CC5003"/>
    <w:rsid w:val="00CC5B67"/>
    <w:rsid w:val="00CC71AD"/>
    <w:rsid w:val="00CC74C0"/>
    <w:rsid w:val="00CD170A"/>
    <w:rsid w:val="00CD2705"/>
    <w:rsid w:val="00CD61E6"/>
    <w:rsid w:val="00CE5BD7"/>
    <w:rsid w:val="00CE7784"/>
    <w:rsid w:val="00CF08B8"/>
    <w:rsid w:val="00CF2EF3"/>
    <w:rsid w:val="00CF5232"/>
    <w:rsid w:val="00CF58F7"/>
    <w:rsid w:val="00CF703E"/>
    <w:rsid w:val="00D01A56"/>
    <w:rsid w:val="00D0258C"/>
    <w:rsid w:val="00D02B9A"/>
    <w:rsid w:val="00D02BAD"/>
    <w:rsid w:val="00D037E2"/>
    <w:rsid w:val="00D04803"/>
    <w:rsid w:val="00D05527"/>
    <w:rsid w:val="00D073FA"/>
    <w:rsid w:val="00D1129E"/>
    <w:rsid w:val="00D13B78"/>
    <w:rsid w:val="00D14FF1"/>
    <w:rsid w:val="00D170C3"/>
    <w:rsid w:val="00D23548"/>
    <w:rsid w:val="00D26570"/>
    <w:rsid w:val="00D31005"/>
    <w:rsid w:val="00D3266B"/>
    <w:rsid w:val="00D326C9"/>
    <w:rsid w:val="00D41282"/>
    <w:rsid w:val="00D42798"/>
    <w:rsid w:val="00D42981"/>
    <w:rsid w:val="00D429AD"/>
    <w:rsid w:val="00D4427C"/>
    <w:rsid w:val="00D444FC"/>
    <w:rsid w:val="00D553E1"/>
    <w:rsid w:val="00D55A80"/>
    <w:rsid w:val="00D56546"/>
    <w:rsid w:val="00D60251"/>
    <w:rsid w:val="00D62F9C"/>
    <w:rsid w:val="00D7006F"/>
    <w:rsid w:val="00D718CD"/>
    <w:rsid w:val="00D71AC2"/>
    <w:rsid w:val="00D71B69"/>
    <w:rsid w:val="00D725B6"/>
    <w:rsid w:val="00D72EA8"/>
    <w:rsid w:val="00D734D2"/>
    <w:rsid w:val="00D7350F"/>
    <w:rsid w:val="00D73634"/>
    <w:rsid w:val="00D7628B"/>
    <w:rsid w:val="00D7631E"/>
    <w:rsid w:val="00D77B86"/>
    <w:rsid w:val="00D8799A"/>
    <w:rsid w:val="00D96624"/>
    <w:rsid w:val="00DA4535"/>
    <w:rsid w:val="00DB33DB"/>
    <w:rsid w:val="00DB547E"/>
    <w:rsid w:val="00DC1CC3"/>
    <w:rsid w:val="00DC3D80"/>
    <w:rsid w:val="00DC5EA0"/>
    <w:rsid w:val="00DD0241"/>
    <w:rsid w:val="00DD0E96"/>
    <w:rsid w:val="00DE12A3"/>
    <w:rsid w:val="00DE74D2"/>
    <w:rsid w:val="00DE74DC"/>
    <w:rsid w:val="00DF2EC0"/>
    <w:rsid w:val="00DF4171"/>
    <w:rsid w:val="00DF4432"/>
    <w:rsid w:val="00E03534"/>
    <w:rsid w:val="00E11126"/>
    <w:rsid w:val="00E1210D"/>
    <w:rsid w:val="00E12F5F"/>
    <w:rsid w:val="00E147EF"/>
    <w:rsid w:val="00E205F3"/>
    <w:rsid w:val="00E22D53"/>
    <w:rsid w:val="00E231EF"/>
    <w:rsid w:val="00E236E6"/>
    <w:rsid w:val="00E239AE"/>
    <w:rsid w:val="00E25220"/>
    <w:rsid w:val="00E278BD"/>
    <w:rsid w:val="00E30AC1"/>
    <w:rsid w:val="00E31F22"/>
    <w:rsid w:val="00E46A5D"/>
    <w:rsid w:val="00E50425"/>
    <w:rsid w:val="00E56104"/>
    <w:rsid w:val="00E5776B"/>
    <w:rsid w:val="00E614D6"/>
    <w:rsid w:val="00E643AD"/>
    <w:rsid w:val="00E65AC1"/>
    <w:rsid w:val="00E65C60"/>
    <w:rsid w:val="00E717A1"/>
    <w:rsid w:val="00E9065B"/>
    <w:rsid w:val="00E941F3"/>
    <w:rsid w:val="00E9604B"/>
    <w:rsid w:val="00E969E5"/>
    <w:rsid w:val="00EA0F59"/>
    <w:rsid w:val="00EA194C"/>
    <w:rsid w:val="00EA20C7"/>
    <w:rsid w:val="00EA4769"/>
    <w:rsid w:val="00EB2D6F"/>
    <w:rsid w:val="00EB5F2A"/>
    <w:rsid w:val="00EB7F80"/>
    <w:rsid w:val="00EC6E09"/>
    <w:rsid w:val="00EC7068"/>
    <w:rsid w:val="00ED2D2E"/>
    <w:rsid w:val="00ED425C"/>
    <w:rsid w:val="00ED775E"/>
    <w:rsid w:val="00EE040B"/>
    <w:rsid w:val="00EE4AA2"/>
    <w:rsid w:val="00EE76BB"/>
    <w:rsid w:val="00EF1E37"/>
    <w:rsid w:val="00EF3905"/>
    <w:rsid w:val="00F0306E"/>
    <w:rsid w:val="00F0515F"/>
    <w:rsid w:val="00F115C8"/>
    <w:rsid w:val="00F12BBB"/>
    <w:rsid w:val="00F12F94"/>
    <w:rsid w:val="00F137EF"/>
    <w:rsid w:val="00F16D39"/>
    <w:rsid w:val="00F224EC"/>
    <w:rsid w:val="00F23839"/>
    <w:rsid w:val="00F302CA"/>
    <w:rsid w:val="00F32121"/>
    <w:rsid w:val="00F32751"/>
    <w:rsid w:val="00F36703"/>
    <w:rsid w:val="00F43E95"/>
    <w:rsid w:val="00F50556"/>
    <w:rsid w:val="00F66EB8"/>
    <w:rsid w:val="00F70E5A"/>
    <w:rsid w:val="00F72A7D"/>
    <w:rsid w:val="00F75AB4"/>
    <w:rsid w:val="00F80185"/>
    <w:rsid w:val="00F8642B"/>
    <w:rsid w:val="00F86BF8"/>
    <w:rsid w:val="00F905C9"/>
    <w:rsid w:val="00F940EF"/>
    <w:rsid w:val="00FA19A7"/>
    <w:rsid w:val="00FA40EA"/>
    <w:rsid w:val="00FA4406"/>
    <w:rsid w:val="00FA4A58"/>
    <w:rsid w:val="00FA7C51"/>
    <w:rsid w:val="00FB02D1"/>
    <w:rsid w:val="00FB336C"/>
    <w:rsid w:val="00FB6132"/>
    <w:rsid w:val="00FC3588"/>
    <w:rsid w:val="00FC516B"/>
    <w:rsid w:val="00FD2A89"/>
    <w:rsid w:val="00FD3C7F"/>
    <w:rsid w:val="00FD6E34"/>
    <w:rsid w:val="00FD7DFE"/>
    <w:rsid w:val="00FE0E94"/>
    <w:rsid w:val="00FE5D6A"/>
    <w:rsid w:val="00FE7B89"/>
    <w:rsid w:val="00FF26CC"/>
    <w:rsid w:val="00FF590D"/>
    <w:rsid w:val="01850BFA"/>
    <w:rsid w:val="02CE5B56"/>
    <w:rsid w:val="0BB15A7A"/>
    <w:rsid w:val="0E9F4306"/>
    <w:rsid w:val="12D94A8E"/>
    <w:rsid w:val="144C4E86"/>
    <w:rsid w:val="146773F6"/>
    <w:rsid w:val="15000D9C"/>
    <w:rsid w:val="16334BE7"/>
    <w:rsid w:val="17692DB8"/>
    <w:rsid w:val="18F817C9"/>
    <w:rsid w:val="19625F81"/>
    <w:rsid w:val="1A05219E"/>
    <w:rsid w:val="1E3F0670"/>
    <w:rsid w:val="20782F96"/>
    <w:rsid w:val="20A201B0"/>
    <w:rsid w:val="20C90B31"/>
    <w:rsid w:val="22712873"/>
    <w:rsid w:val="243B53DF"/>
    <w:rsid w:val="26A91B76"/>
    <w:rsid w:val="27096B2D"/>
    <w:rsid w:val="2F0F42B3"/>
    <w:rsid w:val="30893669"/>
    <w:rsid w:val="30B634C2"/>
    <w:rsid w:val="30F9025B"/>
    <w:rsid w:val="330A14F7"/>
    <w:rsid w:val="343438B8"/>
    <w:rsid w:val="3450722A"/>
    <w:rsid w:val="35D1642D"/>
    <w:rsid w:val="368841F9"/>
    <w:rsid w:val="382D213E"/>
    <w:rsid w:val="396447E1"/>
    <w:rsid w:val="3FF0425A"/>
    <w:rsid w:val="3FFB4703"/>
    <w:rsid w:val="427F4E2B"/>
    <w:rsid w:val="45B2578A"/>
    <w:rsid w:val="46285B53"/>
    <w:rsid w:val="47640C75"/>
    <w:rsid w:val="483C65E1"/>
    <w:rsid w:val="4E240905"/>
    <w:rsid w:val="4EDA49CC"/>
    <w:rsid w:val="56B244DC"/>
    <w:rsid w:val="578B4DEA"/>
    <w:rsid w:val="5A782D7D"/>
    <w:rsid w:val="5BDE99D9"/>
    <w:rsid w:val="5CA65D49"/>
    <w:rsid w:val="5E1E6B82"/>
    <w:rsid w:val="5FCC097E"/>
    <w:rsid w:val="6212353D"/>
    <w:rsid w:val="63A865E7"/>
    <w:rsid w:val="64AD73B7"/>
    <w:rsid w:val="65DD20F3"/>
    <w:rsid w:val="688D4964"/>
    <w:rsid w:val="6DFF2040"/>
    <w:rsid w:val="740D2704"/>
    <w:rsid w:val="74966043"/>
    <w:rsid w:val="75566DA0"/>
    <w:rsid w:val="772758D0"/>
    <w:rsid w:val="78789A18"/>
    <w:rsid w:val="787E2BA2"/>
    <w:rsid w:val="79EF9161"/>
    <w:rsid w:val="79FE43BB"/>
    <w:rsid w:val="7A684ACB"/>
    <w:rsid w:val="7DFD9524"/>
    <w:rsid w:val="7EA6A54F"/>
    <w:rsid w:val="7FFE5607"/>
    <w:rsid w:val="B7EEA5D7"/>
    <w:rsid w:val="D39F6630"/>
    <w:rsid w:val="EF95FCA3"/>
    <w:rsid w:val="F2F723F6"/>
    <w:rsid w:val="FF671020"/>
    <w:rsid w:val="FF9B9D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b/>
      <w:kern w:val="44"/>
      <w:sz w:val="48"/>
      <w:szCs w:val="4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4"/>
    <w:qFormat/>
    <w:uiPriority w:val="0"/>
    <w:pPr>
      <w:jc w:val="left"/>
    </w:pPr>
  </w:style>
  <w:style w:type="paragraph" w:styleId="4">
    <w:name w:val="Body Text Indent"/>
    <w:basedOn w:val="1"/>
    <w:link w:val="22"/>
    <w:qFormat/>
    <w:uiPriority w:val="0"/>
    <w:pPr>
      <w:spacing w:line="600" w:lineRule="exact"/>
      <w:ind w:firstLine="672" w:firstLineChars="200"/>
    </w:pPr>
    <w:rPr>
      <w:rFonts w:ascii="仿宋_GB2312" w:eastAsia="宋体"/>
      <w:spacing w:val="0"/>
      <w:szCs w:val="24"/>
    </w:rPr>
  </w:style>
  <w:style w:type="paragraph" w:styleId="5">
    <w:name w:val="Balloon Text"/>
    <w:basedOn w:val="1"/>
    <w:link w:val="23"/>
    <w:qFormat/>
    <w:uiPriority w:val="0"/>
    <w:pPr>
      <w:spacing w:line="240" w:lineRule="auto"/>
    </w:pPr>
    <w:rPr>
      <w:rFonts w:eastAsia="宋体"/>
      <w:sz w:val="18"/>
      <w:szCs w:val="18"/>
    </w:rPr>
  </w:style>
  <w:style w:type="paragraph" w:styleId="6">
    <w:name w:val="footer"/>
    <w:basedOn w:val="1"/>
    <w:link w:val="29"/>
    <w:qFormat/>
    <w:uiPriority w:val="99"/>
    <w:pPr>
      <w:tabs>
        <w:tab w:val="center" w:pos="4153"/>
        <w:tab w:val="right" w:pos="8306"/>
      </w:tabs>
      <w:overflowPunct w:val="0"/>
      <w:autoSpaceDE w:val="0"/>
      <w:autoSpaceDN w:val="0"/>
      <w:adjustRightInd w:val="0"/>
      <w:textAlignment w:val="baseline"/>
    </w:pPr>
    <w:rPr>
      <w:rFonts w:eastAsia="宋体"/>
      <w:sz w:val="20"/>
    </w:rPr>
  </w:style>
  <w:style w:type="paragraph" w:styleId="7">
    <w:name w:val="header"/>
    <w:basedOn w:val="1"/>
    <w:qFormat/>
    <w:uiPriority w:val="0"/>
    <w:pPr>
      <w:tabs>
        <w:tab w:val="center" w:pos="4153"/>
        <w:tab w:val="right" w:pos="8306"/>
      </w:tabs>
      <w:overflowPunct w:val="0"/>
      <w:autoSpaceDE w:val="0"/>
      <w:autoSpaceDN w:val="0"/>
      <w:adjustRightInd w:val="0"/>
      <w:textAlignment w:val="baseline"/>
    </w:pPr>
    <w:rPr>
      <w:rFonts w:eastAsia="宋体"/>
      <w:sz w:val="20"/>
    </w:rPr>
  </w:style>
  <w:style w:type="paragraph" w:styleId="8">
    <w:name w:val="toc 1"/>
    <w:basedOn w:val="1"/>
    <w:next w:val="1"/>
    <w:qFormat/>
    <w:uiPriority w:val="39"/>
    <w:pPr>
      <w:tabs>
        <w:tab w:val="right" w:leader="dot" w:pos="8834"/>
      </w:tabs>
      <w:spacing w:line="360" w:lineRule="exact"/>
    </w:pPr>
    <w:rPr>
      <w:rFonts w:ascii="宋体" w:hAnsi="宋体" w:eastAsia="宋体"/>
      <w:sz w:val="28"/>
      <w:szCs w:val="18"/>
    </w:rPr>
  </w:style>
  <w:style w:type="paragraph" w:styleId="9">
    <w:name w:val="toc 2"/>
    <w:basedOn w:val="1"/>
    <w:next w:val="1"/>
    <w:qFormat/>
    <w:uiPriority w:val="39"/>
    <w:pPr>
      <w:ind w:left="420" w:leftChars="200"/>
    </w:pPr>
  </w:style>
  <w:style w:type="paragraph" w:styleId="10">
    <w:name w:val="annotation subject"/>
    <w:basedOn w:val="3"/>
    <w:next w:val="3"/>
    <w:link w:val="25"/>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rPr>
      <w:rFonts w:ascii="Times New Roman" w:hAnsi="Times New Roman" w:eastAsia="宋体" w:cs="Times New Roman"/>
      <w:lang w:val="en-US" w:eastAsia="zh-CN" w:bidi="ar-SA"/>
    </w:rPr>
  </w:style>
  <w:style w:type="character" w:styleId="15">
    <w:name w:val="FollowedHyperlink"/>
    <w:basedOn w:val="13"/>
    <w:qFormat/>
    <w:uiPriority w:val="0"/>
    <w:rPr>
      <w:color w:val="000000"/>
      <w:sz w:val="12"/>
      <w:szCs w:val="12"/>
      <w:u w:val="none"/>
    </w:rPr>
  </w:style>
  <w:style w:type="character" w:styleId="16">
    <w:name w:val="Emphasis"/>
    <w:basedOn w:val="13"/>
    <w:qFormat/>
    <w:uiPriority w:val="0"/>
    <w:rPr>
      <w:i/>
    </w:rPr>
  </w:style>
  <w:style w:type="character" w:styleId="17">
    <w:name w:val="line number"/>
    <w:basedOn w:val="13"/>
    <w:qFormat/>
    <w:uiPriority w:val="0"/>
    <w:rPr>
      <w:rFonts w:ascii="Times New Roman" w:hAnsi="Times New Roman" w:eastAsia="宋体" w:cs="Times New Roman"/>
      <w:lang w:val="en-US" w:eastAsia="zh-CN" w:bidi="ar-SA"/>
    </w:rPr>
  </w:style>
  <w:style w:type="character" w:styleId="18">
    <w:name w:val="Hyperlink"/>
    <w:basedOn w:val="13"/>
    <w:qFormat/>
    <w:uiPriority w:val="99"/>
    <w:rPr>
      <w:color w:val="0000FF"/>
      <w:u w:val="single"/>
    </w:rPr>
  </w:style>
  <w:style w:type="character" w:styleId="19">
    <w:name w:val="annotation reference"/>
    <w:basedOn w:val="13"/>
    <w:qFormat/>
    <w:uiPriority w:val="0"/>
    <w:rPr>
      <w:sz w:val="21"/>
      <w:szCs w:val="21"/>
    </w:rPr>
  </w:style>
  <w:style w:type="paragraph" w:customStyle="1" w:styleId="20">
    <w:name w:val="居中"/>
    <w:basedOn w:val="1"/>
    <w:qFormat/>
    <w:uiPriority w:val="0"/>
    <w:pPr>
      <w:numPr>
        <w:ilvl w:val="0"/>
        <w:numId w:val="1"/>
      </w:numPr>
    </w:pPr>
    <w:rPr>
      <w:rFonts w:eastAsia="宋体"/>
    </w:rPr>
  </w:style>
  <w:style w:type="paragraph" w:styleId="21">
    <w:name w:val="List Paragraph"/>
    <w:basedOn w:val="1"/>
    <w:qFormat/>
    <w:uiPriority w:val="0"/>
    <w:pPr>
      <w:ind w:firstLine="420" w:firstLineChars="200"/>
    </w:pPr>
    <w:rPr>
      <w:rFonts w:eastAsia="宋体"/>
    </w:rPr>
  </w:style>
  <w:style w:type="character" w:customStyle="1" w:styleId="22">
    <w:name w:val="正文文本缩进 Char"/>
    <w:basedOn w:val="13"/>
    <w:link w:val="4"/>
    <w:qFormat/>
    <w:uiPriority w:val="0"/>
    <w:rPr>
      <w:rFonts w:ascii="仿宋_GB2312" w:hAnsi="Times New Roman" w:eastAsia="仿宋_GB2312" w:cs="Times New Roman"/>
      <w:kern w:val="2"/>
      <w:sz w:val="32"/>
      <w:szCs w:val="24"/>
      <w:lang w:val="en-US" w:eastAsia="zh-CN" w:bidi="ar-SA"/>
    </w:rPr>
  </w:style>
  <w:style w:type="character" w:customStyle="1" w:styleId="23">
    <w:name w:val="批注框文本 Char"/>
    <w:link w:val="5"/>
    <w:qFormat/>
    <w:uiPriority w:val="0"/>
    <w:rPr>
      <w:rFonts w:ascii="Times New Roman" w:hAnsi="Times New Roman" w:eastAsia="仿宋_GB2312" w:cs="Times New Roman"/>
      <w:spacing w:val="-6"/>
      <w:kern w:val="2"/>
      <w:sz w:val="18"/>
      <w:szCs w:val="18"/>
      <w:lang w:val="en-US" w:eastAsia="zh-CN" w:bidi="ar-SA"/>
    </w:rPr>
  </w:style>
  <w:style w:type="character" w:customStyle="1" w:styleId="24">
    <w:name w:val="批注文字 Char"/>
    <w:basedOn w:val="13"/>
    <w:link w:val="3"/>
    <w:qFormat/>
    <w:uiPriority w:val="0"/>
    <w:rPr>
      <w:rFonts w:ascii="Times New Roman" w:hAnsi="Times New Roman" w:eastAsia="仿宋_GB2312" w:cs="Times New Roman"/>
      <w:spacing w:val="-6"/>
      <w:kern w:val="2"/>
      <w:sz w:val="32"/>
    </w:rPr>
  </w:style>
  <w:style w:type="character" w:customStyle="1" w:styleId="25">
    <w:name w:val="批注主题 Char"/>
    <w:basedOn w:val="24"/>
    <w:link w:val="10"/>
    <w:qFormat/>
    <w:uiPriority w:val="0"/>
    <w:rPr>
      <w:rFonts w:ascii="Times New Roman" w:hAnsi="Times New Roman" w:eastAsia="仿宋_GB2312" w:cs="Times New Roman"/>
      <w:b/>
      <w:bCs/>
      <w:spacing w:val="-6"/>
      <w:kern w:val="2"/>
      <w:sz w:val="32"/>
    </w:rPr>
  </w:style>
  <w:style w:type="paragraph" w:customStyle="1" w:styleId="26">
    <w:name w:val="Default"/>
    <w:qFormat/>
    <w:uiPriority w:val="99"/>
    <w:pPr>
      <w:widowControl w:val="0"/>
      <w:autoSpaceDE w:val="0"/>
      <w:autoSpaceDN w:val="0"/>
      <w:adjustRightInd w:val="0"/>
    </w:pPr>
    <w:rPr>
      <w:rFonts w:ascii="黑体" w:hAnsi="黑体" w:eastAsia="黑体" w:cs="Times New Roman"/>
      <w:color w:val="000000"/>
      <w:sz w:val="24"/>
      <w:lang w:val="en-US" w:eastAsia="zh-CN" w:bidi="ar-SA"/>
    </w:rPr>
  </w:style>
  <w:style w:type="paragraph" w:customStyle="1" w:styleId="27">
    <w:name w:val="TOC 标题1"/>
    <w:basedOn w:val="2"/>
    <w:next w:val="1"/>
    <w:qFormat/>
    <w:uiPriority w:val="39"/>
    <w:pPr>
      <w:keepNext/>
      <w:keepLines/>
      <w:widowControl/>
      <w:spacing w:before="240" w:beforeAutospacing="0" w:afterAutospacing="0" w:line="259" w:lineRule="auto"/>
      <w:outlineLvl w:val="9"/>
    </w:pPr>
    <w:rPr>
      <w:rFonts w:hint="default" w:ascii="Cambria" w:hAnsi="Cambria" w:cs="宋体"/>
      <w:b w:val="0"/>
      <w:color w:val="376092"/>
      <w:spacing w:val="0"/>
      <w:kern w:val="0"/>
      <w:sz w:val="32"/>
      <w:szCs w:val="32"/>
    </w:rPr>
  </w:style>
  <w:style w:type="paragraph" w:customStyle="1" w:styleId="28">
    <w:name w:val="修订1"/>
    <w:hidden/>
    <w:semiHidden/>
    <w:qFormat/>
    <w:uiPriority w:val="99"/>
    <w:rPr>
      <w:rFonts w:ascii="Times New Roman" w:hAnsi="Times New Roman" w:eastAsia="仿宋_GB2312" w:cs="Times New Roman"/>
      <w:spacing w:val="-6"/>
      <w:kern w:val="2"/>
      <w:sz w:val="32"/>
      <w:lang w:val="en-US" w:eastAsia="zh-CN" w:bidi="ar-SA"/>
    </w:rPr>
  </w:style>
  <w:style w:type="character" w:customStyle="1" w:styleId="29">
    <w:name w:val="页脚 Char"/>
    <w:basedOn w:val="13"/>
    <w:link w:val="6"/>
    <w:qFormat/>
    <w:uiPriority w:val="99"/>
    <w:rPr>
      <w:spacing w:val="-6"/>
      <w:kern w:val="2"/>
    </w:rPr>
  </w:style>
  <w:style w:type="character" w:customStyle="1" w:styleId="30">
    <w:name w:val="bjh-p"/>
    <w:basedOn w:val="13"/>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1462</Words>
  <Characters>8335</Characters>
  <Lines>69</Lines>
  <Paragraphs>19</Paragraphs>
  <TotalTime>5</TotalTime>
  <ScaleCrop>false</ScaleCrop>
  <LinksUpToDate>false</LinksUpToDate>
  <CharactersWithSpaces>9778</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2022-05-23T23:33:00Z</dcterms:created>
  <dc:creator>发展研究中心战略室</dc:creator>
  <cp:lastModifiedBy>yj</cp:lastModifiedBy>
  <cp:lastPrinted>2022-04-13T18:24:00Z</cp:lastPrinted>
  <dcterms:modified xsi:type="dcterms:W3CDTF">2022-05-25T10:53:53Z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公文模板版本">
    <vt:lpwstr>20161201</vt:lpwstr>
  </property>
  <property fmtid="{D5CDD505-2E9C-101B-9397-08002B2CF9AE}" pid="4" name="发文机关署名">
    <vt:lpwstr>中国地震局规划财务司</vt:lpwstr>
  </property>
  <property fmtid="{D5CDD505-2E9C-101B-9397-08002B2CF9AE}" pid="5" name="公文标识">
    <vt:lpwstr>1.2.156.10.12100000000014197Q-013-2020-s1-00025-Y</vt:lpwstr>
  </property>
  <property fmtid="{D5CDD505-2E9C-101B-9397-08002B2CF9AE}" pid="6" name="标题">
    <vt:lpwstr>关于印发《国家防震减灾“十四五”规划初步框架》的通知</vt:lpwstr>
  </property>
  <property fmtid="{D5CDD505-2E9C-101B-9397-08002B2CF9AE}" pid="7" name="发文机关代字">
    <vt:lpwstr>中震财函</vt:lpwstr>
  </property>
  <property fmtid="{D5CDD505-2E9C-101B-9397-08002B2CF9AE}" pid="8" name="年份">
    <vt:lpwstr>2020</vt:lpwstr>
  </property>
  <property fmtid="{D5CDD505-2E9C-101B-9397-08002B2CF9AE}" pid="9" name="发文顺序号">
    <vt:lpwstr>21</vt:lpwstr>
  </property>
  <property fmtid="{D5CDD505-2E9C-101B-9397-08002B2CF9AE}" pid="10" name="密级">
    <vt:lpwstr>无</vt:lpwstr>
  </property>
  <property fmtid="{D5CDD505-2E9C-101B-9397-08002B2CF9AE}" pid="11" name="保密期限">
    <vt:lpwstr>0</vt:lpwstr>
  </property>
  <property fmtid="{D5CDD505-2E9C-101B-9397-08002B2CF9AE}" pid="12" name="紧急程度">
    <vt:lpwstr/>
  </property>
  <property fmtid="{D5CDD505-2E9C-101B-9397-08002B2CF9AE}" pid="13" name="附注">
    <vt:lpwstr>依申请公开</vt:lpwstr>
  </property>
  <property fmtid="{D5CDD505-2E9C-101B-9397-08002B2CF9AE}" pid="14" name="主送机关">
    <vt:lpwstr>各省、自治区、直辖市地震局，各直属单位，机关各内设机构</vt:lpwstr>
  </property>
  <property fmtid="{D5CDD505-2E9C-101B-9397-08002B2CF9AE}" pid="15" name="抄送机关">
    <vt:lpwstr/>
  </property>
  <property fmtid="{D5CDD505-2E9C-101B-9397-08002B2CF9AE}" pid="16" name="发文机关名称">
    <vt:lpwstr>中国地震局</vt:lpwstr>
  </property>
  <property fmtid="{D5CDD505-2E9C-101B-9397-08002B2CF9AE}" pid="17" name="成文日期">
    <vt:lpwstr>2020年04月30日</vt:lpwstr>
  </property>
  <property fmtid="{D5CDD505-2E9C-101B-9397-08002B2CF9AE}" pid="18" name="印发日期">
    <vt:lpwstr>2020年04月30日</vt:lpwstr>
  </property>
  <property fmtid="{D5CDD505-2E9C-101B-9397-08002B2CF9AE}" pid="19" name="印发机关">
    <vt:lpwstr>中国地震局</vt:lpwstr>
  </property>
  <property fmtid="{D5CDD505-2E9C-101B-9397-08002B2CF9AE}" pid="20" name="信息公开形式">
    <vt:lpwstr>依申请公开</vt:lpwstr>
  </property>
  <property fmtid="{D5CDD505-2E9C-101B-9397-08002B2CF9AE}" pid="21" name="签发人">
    <vt:lpwstr/>
  </property>
  <property fmtid="{D5CDD505-2E9C-101B-9397-08002B2CF9AE}" pid="22" name="ICV">
    <vt:lpwstr>77AB64B905714EC892044302DD8B888F</vt:lpwstr>
  </property>
</Properties>
</file>