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069F8" w14:textId="324E31ED" w:rsidR="006D3842" w:rsidRDefault="006D3842" w:rsidP="00903723">
      <w:pPr>
        <w:spacing w:line="580" w:lineRule="exact"/>
        <w:jc w:val="center"/>
        <w:rPr>
          <w:rFonts w:ascii="仿宋_GB2312" w:eastAsia="仿宋_GB2312"/>
          <w:sz w:val="36"/>
          <w:szCs w:val="36"/>
        </w:rPr>
      </w:pPr>
    </w:p>
    <w:p w14:paraId="342B4624" w14:textId="77777777" w:rsidR="006D3842" w:rsidRPr="000A5CC9" w:rsidRDefault="006D3842" w:rsidP="006D3842">
      <w:pPr>
        <w:spacing w:line="560" w:lineRule="exact"/>
        <w:jc w:val="center"/>
        <w:rPr>
          <w:rFonts w:ascii="方正小标宋简体" w:eastAsia="方正小标宋简体"/>
          <w:sz w:val="44"/>
          <w:szCs w:val="44"/>
        </w:rPr>
      </w:pPr>
      <w:r w:rsidRPr="000A5CC9">
        <w:rPr>
          <w:rFonts w:ascii="方正小标宋简体" w:eastAsia="方正小标宋简体" w:hint="eastAsia"/>
          <w:sz w:val="44"/>
          <w:szCs w:val="44"/>
        </w:rPr>
        <w:t>石油开采重大事故隐患判定标准</w:t>
      </w:r>
    </w:p>
    <w:p w14:paraId="7B2EA9B1" w14:textId="0CDFBC66" w:rsidR="006D3842" w:rsidRDefault="006D3842" w:rsidP="006D3842">
      <w:pPr>
        <w:spacing w:line="560" w:lineRule="exact"/>
        <w:jc w:val="center"/>
        <w:rPr>
          <w:rFonts w:ascii="楷体_GB2312" w:eastAsia="楷体_GB2312" w:hAnsi="黑体"/>
          <w:b/>
          <w:bCs/>
          <w:sz w:val="32"/>
          <w:szCs w:val="32"/>
        </w:rPr>
      </w:pPr>
      <w:r w:rsidRPr="0037386C">
        <w:rPr>
          <w:rFonts w:ascii="楷体_GB2312" w:eastAsia="楷体_GB2312" w:hAnsi="黑体" w:hint="eastAsia"/>
          <w:b/>
          <w:bCs/>
          <w:sz w:val="32"/>
          <w:szCs w:val="32"/>
        </w:rPr>
        <w:t>（征求意见稿）</w:t>
      </w:r>
    </w:p>
    <w:p w14:paraId="7E4B54E4" w14:textId="2B04A5BE" w:rsidR="006711A3" w:rsidRDefault="006711A3" w:rsidP="006D3842">
      <w:pPr>
        <w:spacing w:line="560" w:lineRule="exact"/>
        <w:jc w:val="center"/>
        <w:rPr>
          <w:rFonts w:ascii="楷体_GB2312" w:eastAsia="楷体_GB2312" w:hAnsi="黑体"/>
          <w:b/>
          <w:bCs/>
          <w:sz w:val="32"/>
          <w:szCs w:val="32"/>
        </w:rPr>
      </w:pPr>
    </w:p>
    <w:p w14:paraId="3B838647" w14:textId="38ACA5ED" w:rsidR="00FE1A5C" w:rsidRDefault="006711A3" w:rsidP="006711A3">
      <w:pPr>
        <w:spacing w:line="560" w:lineRule="exact"/>
        <w:ind w:firstLineChars="200" w:firstLine="640"/>
        <w:rPr>
          <w:rFonts w:ascii="仿宋_GB2312" w:eastAsia="仿宋_GB2312" w:hAnsi="黑体"/>
          <w:sz w:val="32"/>
          <w:szCs w:val="32"/>
        </w:rPr>
      </w:pPr>
      <w:r w:rsidRPr="006711A3">
        <w:rPr>
          <w:rFonts w:ascii="仿宋_GB2312" w:eastAsia="仿宋_GB2312" w:hAnsi="黑体" w:hint="eastAsia"/>
          <w:sz w:val="32"/>
          <w:szCs w:val="32"/>
        </w:rPr>
        <w:t>本判定标准适用于判定</w:t>
      </w:r>
      <w:r w:rsidR="00710B19">
        <w:rPr>
          <w:rFonts w:ascii="仿宋_GB2312" w:eastAsia="仿宋_GB2312" w:hAnsi="黑体" w:hint="eastAsia"/>
          <w:sz w:val="32"/>
          <w:szCs w:val="32"/>
        </w:rPr>
        <w:t>石油</w:t>
      </w:r>
      <w:r w:rsidR="00F72FBF">
        <w:rPr>
          <w:rFonts w:ascii="仿宋_GB2312" w:eastAsia="仿宋_GB2312" w:hAnsi="黑体" w:hint="eastAsia"/>
          <w:sz w:val="32"/>
          <w:szCs w:val="32"/>
        </w:rPr>
        <w:t>（包括</w:t>
      </w:r>
      <w:r w:rsidR="00710B19">
        <w:rPr>
          <w:rFonts w:ascii="仿宋_GB2312" w:eastAsia="仿宋_GB2312" w:hAnsi="黑体" w:hint="eastAsia"/>
          <w:sz w:val="32"/>
          <w:szCs w:val="32"/>
        </w:rPr>
        <w:t>天然气、页岩气</w:t>
      </w:r>
      <w:r w:rsidR="005616DA">
        <w:rPr>
          <w:rFonts w:ascii="仿宋_GB2312" w:eastAsia="仿宋_GB2312" w:hAnsi="黑体" w:hint="eastAsia"/>
          <w:sz w:val="32"/>
          <w:szCs w:val="32"/>
        </w:rPr>
        <w:t>）</w:t>
      </w:r>
      <w:r w:rsidR="00710B19">
        <w:rPr>
          <w:rFonts w:ascii="仿宋_GB2312" w:eastAsia="仿宋_GB2312" w:hAnsi="黑体" w:hint="eastAsia"/>
          <w:sz w:val="32"/>
          <w:szCs w:val="32"/>
        </w:rPr>
        <w:t>开采</w:t>
      </w:r>
      <w:r w:rsidR="00FE1A5C">
        <w:rPr>
          <w:rFonts w:ascii="仿宋_GB2312" w:eastAsia="仿宋_GB2312" w:hAnsi="黑体" w:hint="eastAsia"/>
          <w:sz w:val="32"/>
          <w:szCs w:val="32"/>
        </w:rPr>
        <w:t>行业</w:t>
      </w:r>
      <w:r w:rsidRPr="006711A3">
        <w:rPr>
          <w:rFonts w:ascii="仿宋_GB2312" w:eastAsia="仿宋_GB2312" w:hAnsi="黑体" w:hint="eastAsia"/>
          <w:sz w:val="32"/>
          <w:szCs w:val="32"/>
        </w:rPr>
        <w:t>的重大生产安全事故隐患，</w:t>
      </w:r>
      <w:r w:rsidR="00FE1A5C" w:rsidRPr="00FE1A5C">
        <w:rPr>
          <w:rFonts w:ascii="仿宋_GB2312" w:eastAsia="仿宋_GB2312" w:hAnsi="黑体" w:hint="eastAsia"/>
          <w:sz w:val="32"/>
          <w:szCs w:val="32"/>
        </w:rPr>
        <w:t>分为石油开采通用</w:t>
      </w:r>
      <w:r w:rsidR="002442C8" w:rsidRPr="002442C8">
        <w:rPr>
          <w:rFonts w:ascii="仿宋_GB2312" w:eastAsia="仿宋_GB2312" w:hAnsi="黑体" w:hint="eastAsia"/>
          <w:sz w:val="32"/>
          <w:szCs w:val="32"/>
        </w:rPr>
        <w:t>（1</w:t>
      </w:r>
      <w:r w:rsidR="002442C8" w:rsidRPr="002442C8">
        <w:rPr>
          <w:rFonts w:ascii="仿宋_GB2312" w:eastAsia="仿宋_GB2312" w:hAnsi="黑体"/>
          <w:sz w:val="32"/>
          <w:szCs w:val="32"/>
        </w:rPr>
        <w:t>3</w:t>
      </w:r>
      <w:r w:rsidR="002442C8" w:rsidRPr="002442C8">
        <w:rPr>
          <w:rFonts w:ascii="仿宋_GB2312" w:eastAsia="仿宋_GB2312" w:hAnsi="黑体" w:hint="eastAsia"/>
          <w:sz w:val="32"/>
          <w:szCs w:val="32"/>
        </w:rPr>
        <w:t>项）</w:t>
      </w:r>
      <w:r w:rsidR="00FE1A5C" w:rsidRPr="00FE1A5C">
        <w:rPr>
          <w:rFonts w:ascii="仿宋_GB2312" w:eastAsia="仿宋_GB2312" w:hAnsi="黑体" w:hint="eastAsia"/>
          <w:sz w:val="32"/>
          <w:szCs w:val="32"/>
        </w:rPr>
        <w:t>、陆上石油适用</w:t>
      </w:r>
      <w:r w:rsidR="002442C8" w:rsidRPr="002442C8">
        <w:rPr>
          <w:rFonts w:ascii="仿宋_GB2312" w:eastAsia="仿宋_GB2312" w:hAnsi="黑体" w:hint="eastAsia"/>
          <w:sz w:val="32"/>
          <w:szCs w:val="32"/>
        </w:rPr>
        <w:t>（</w:t>
      </w:r>
      <w:r w:rsidR="002442C8">
        <w:rPr>
          <w:rFonts w:ascii="仿宋_GB2312" w:eastAsia="仿宋_GB2312" w:hAnsi="黑体"/>
          <w:sz w:val="32"/>
          <w:szCs w:val="32"/>
        </w:rPr>
        <w:t>9</w:t>
      </w:r>
      <w:r w:rsidR="002442C8" w:rsidRPr="002442C8">
        <w:rPr>
          <w:rFonts w:ascii="仿宋_GB2312" w:eastAsia="仿宋_GB2312" w:hAnsi="黑体" w:hint="eastAsia"/>
          <w:sz w:val="32"/>
          <w:szCs w:val="32"/>
        </w:rPr>
        <w:t>项）</w:t>
      </w:r>
      <w:r w:rsidR="00FE1A5C" w:rsidRPr="00FE1A5C">
        <w:rPr>
          <w:rFonts w:ascii="仿宋_GB2312" w:eastAsia="仿宋_GB2312" w:hAnsi="黑体" w:hint="eastAsia"/>
          <w:sz w:val="32"/>
          <w:szCs w:val="32"/>
        </w:rPr>
        <w:t>、海洋石油适用</w:t>
      </w:r>
      <w:r w:rsidR="002442C8" w:rsidRPr="002442C8">
        <w:rPr>
          <w:rFonts w:ascii="仿宋_GB2312" w:eastAsia="仿宋_GB2312" w:hAnsi="黑体" w:hint="eastAsia"/>
          <w:sz w:val="32"/>
          <w:szCs w:val="32"/>
        </w:rPr>
        <w:t>（</w:t>
      </w:r>
      <w:r w:rsidR="002442C8">
        <w:rPr>
          <w:rFonts w:ascii="仿宋_GB2312" w:eastAsia="仿宋_GB2312" w:hAnsi="黑体"/>
          <w:sz w:val="32"/>
          <w:szCs w:val="32"/>
        </w:rPr>
        <w:t>9</w:t>
      </w:r>
      <w:r w:rsidR="002442C8" w:rsidRPr="002442C8">
        <w:rPr>
          <w:rFonts w:ascii="仿宋_GB2312" w:eastAsia="仿宋_GB2312" w:hAnsi="黑体" w:hint="eastAsia"/>
          <w:sz w:val="32"/>
          <w:szCs w:val="32"/>
        </w:rPr>
        <w:t>项）</w:t>
      </w:r>
      <w:r w:rsidR="00FE1A5C">
        <w:rPr>
          <w:rFonts w:ascii="仿宋_GB2312" w:eastAsia="仿宋_GB2312" w:hAnsi="黑体" w:hint="eastAsia"/>
          <w:sz w:val="32"/>
          <w:szCs w:val="32"/>
        </w:rPr>
        <w:t>等</w:t>
      </w:r>
      <w:r w:rsidR="00FE1A5C" w:rsidRPr="00FE1A5C">
        <w:rPr>
          <w:rFonts w:ascii="仿宋_GB2312" w:eastAsia="仿宋_GB2312" w:hAnsi="黑体" w:hint="eastAsia"/>
          <w:sz w:val="32"/>
          <w:szCs w:val="32"/>
        </w:rPr>
        <w:t>3部分，</w:t>
      </w:r>
      <w:r w:rsidR="00FE1A5C">
        <w:rPr>
          <w:rFonts w:ascii="仿宋_GB2312" w:eastAsia="仿宋_GB2312" w:hAnsi="黑体" w:hint="eastAsia"/>
          <w:sz w:val="32"/>
          <w:szCs w:val="32"/>
        </w:rPr>
        <w:t>其中</w:t>
      </w:r>
      <w:r w:rsidR="00FE1A5C" w:rsidRPr="00FE1A5C">
        <w:rPr>
          <w:rFonts w:ascii="仿宋_GB2312" w:eastAsia="仿宋_GB2312" w:hAnsi="黑体" w:hint="eastAsia"/>
          <w:sz w:val="32"/>
          <w:szCs w:val="32"/>
        </w:rPr>
        <w:t>通用</w:t>
      </w:r>
      <w:r w:rsidR="00FE1A5C">
        <w:rPr>
          <w:rFonts w:ascii="仿宋_GB2312" w:eastAsia="仿宋_GB2312" w:hAnsi="黑体" w:hint="eastAsia"/>
          <w:sz w:val="32"/>
          <w:szCs w:val="32"/>
        </w:rPr>
        <w:t>部</w:t>
      </w:r>
      <w:r w:rsidR="00FE1A5C" w:rsidRPr="002442C8">
        <w:rPr>
          <w:rFonts w:ascii="仿宋_GB2312" w:eastAsia="仿宋_GB2312" w:hAnsi="黑体" w:hint="eastAsia"/>
          <w:sz w:val="32"/>
          <w:szCs w:val="32"/>
        </w:rPr>
        <w:t>分</w:t>
      </w:r>
      <w:r w:rsidR="00FE1A5C">
        <w:rPr>
          <w:rFonts w:ascii="仿宋_GB2312" w:eastAsia="仿宋_GB2312" w:hAnsi="黑体" w:hint="eastAsia"/>
          <w:sz w:val="32"/>
          <w:szCs w:val="32"/>
        </w:rPr>
        <w:t>适用于</w:t>
      </w:r>
      <w:r w:rsidR="00E436AF">
        <w:rPr>
          <w:rFonts w:ascii="仿宋_GB2312" w:eastAsia="仿宋_GB2312" w:hAnsi="黑体" w:hint="eastAsia"/>
          <w:sz w:val="32"/>
          <w:szCs w:val="32"/>
        </w:rPr>
        <w:t>陆上和海洋</w:t>
      </w:r>
      <w:r w:rsidR="00FE1A5C">
        <w:rPr>
          <w:rFonts w:ascii="仿宋_GB2312" w:eastAsia="仿宋_GB2312" w:hAnsi="黑体" w:hint="eastAsia"/>
          <w:sz w:val="32"/>
          <w:szCs w:val="32"/>
        </w:rPr>
        <w:t>石油开采</w:t>
      </w:r>
      <w:r w:rsidR="00E436AF">
        <w:rPr>
          <w:rFonts w:ascii="仿宋_GB2312" w:eastAsia="仿宋_GB2312" w:hAnsi="黑体" w:hint="eastAsia"/>
          <w:sz w:val="32"/>
          <w:szCs w:val="32"/>
        </w:rPr>
        <w:t>活动</w:t>
      </w:r>
      <w:r w:rsidR="00FE1A5C">
        <w:rPr>
          <w:rFonts w:ascii="仿宋_GB2312" w:eastAsia="仿宋_GB2312" w:hAnsi="黑体" w:hint="eastAsia"/>
          <w:sz w:val="32"/>
          <w:szCs w:val="32"/>
        </w:rPr>
        <w:t>，</w:t>
      </w:r>
      <w:r w:rsidR="00FE1A5C" w:rsidRPr="00FE1A5C">
        <w:rPr>
          <w:rFonts w:ascii="仿宋_GB2312" w:eastAsia="仿宋_GB2312" w:hAnsi="黑体" w:hint="eastAsia"/>
          <w:sz w:val="32"/>
          <w:szCs w:val="32"/>
        </w:rPr>
        <w:t>陆上</w:t>
      </w:r>
      <w:r w:rsidR="00FE1A5C">
        <w:rPr>
          <w:rFonts w:ascii="仿宋_GB2312" w:eastAsia="仿宋_GB2312" w:hAnsi="黑体" w:hint="eastAsia"/>
          <w:sz w:val="32"/>
          <w:szCs w:val="32"/>
        </w:rPr>
        <w:t>部分仅适用于陆上石油开采</w:t>
      </w:r>
      <w:r w:rsidR="001235B1">
        <w:rPr>
          <w:rFonts w:ascii="仿宋_GB2312" w:eastAsia="仿宋_GB2312" w:hAnsi="黑体" w:hint="eastAsia"/>
          <w:sz w:val="32"/>
          <w:szCs w:val="32"/>
        </w:rPr>
        <w:t>活动</w:t>
      </w:r>
      <w:r w:rsidR="00FE1A5C">
        <w:rPr>
          <w:rFonts w:ascii="仿宋_GB2312" w:eastAsia="仿宋_GB2312" w:hAnsi="黑体" w:hint="eastAsia"/>
          <w:sz w:val="32"/>
          <w:szCs w:val="32"/>
        </w:rPr>
        <w:t>，</w:t>
      </w:r>
      <w:r w:rsidR="00FE1A5C" w:rsidRPr="00FE1A5C">
        <w:rPr>
          <w:rFonts w:ascii="仿宋_GB2312" w:eastAsia="仿宋_GB2312" w:hAnsi="黑体" w:hint="eastAsia"/>
          <w:sz w:val="32"/>
          <w:szCs w:val="32"/>
        </w:rPr>
        <w:t>海洋</w:t>
      </w:r>
      <w:r w:rsidR="00FE1A5C">
        <w:rPr>
          <w:rFonts w:ascii="仿宋_GB2312" w:eastAsia="仿宋_GB2312" w:hAnsi="黑体" w:hint="eastAsia"/>
          <w:sz w:val="32"/>
          <w:szCs w:val="32"/>
        </w:rPr>
        <w:t>部分仅适用于海洋石油</w:t>
      </w:r>
      <w:r w:rsidR="001235B1">
        <w:rPr>
          <w:rFonts w:ascii="仿宋_GB2312" w:eastAsia="仿宋_GB2312" w:hAnsi="黑体" w:hint="eastAsia"/>
          <w:sz w:val="32"/>
          <w:szCs w:val="32"/>
        </w:rPr>
        <w:t>开采活动。</w:t>
      </w:r>
    </w:p>
    <w:p w14:paraId="17A5072A" w14:textId="77777777" w:rsidR="006D3842" w:rsidRPr="009E757D" w:rsidRDefault="006D3842" w:rsidP="006D3842">
      <w:pPr>
        <w:spacing w:line="560" w:lineRule="exact"/>
        <w:ind w:firstLineChars="200" w:firstLine="640"/>
        <w:rPr>
          <w:rFonts w:ascii="黑体" w:eastAsia="黑体" w:hAnsi="黑体"/>
          <w:sz w:val="32"/>
          <w:szCs w:val="32"/>
        </w:rPr>
      </w:pPr>
      <w:r>
        <w:rPr>
          <w:rFonts w:ascii="黑体" w:eastAsia="黑体" w:hAnsi="黑体" w:hint="eastAsia"/>
          <w:sz w:val="32"/>
          <w:szCs w:val="32"/>
        </w:rPr>
        <w:t>一、石油开采</w:t>
      </w:r>
      <w:r w:rsidRPr="009E757D">
        <w:rPr>
          <w:rFonts w:ascii="黑体" w:eastAsia="黑体" w:hAnsi="黑体" w:hint="eastAsia"/>
          <w:sz w:val="32"/>
          <w:szCs w:val="32"/>
        </w:rPr>
        <w:t>通用</w:t>
      </w:r>
      <w:r>
        <w:rPr>
          <w:rFonts w:ascii="黑体" w:eastAsia="黑体" w:hAnsi="黑体" w:hint="eastAsia"/>
          <w:sz w:val="32"/>
          <w:szCs w:val="32"/>
        </w:rPr>
        <w:t>（1</w:t>
      </w:r>
      <w:r>
        <w:rPr>
          <w:rFonts w:ascii="黑体" w:eastAsia="黑体" w:hAnsi="黑体"/>
          <w:sz w:val="32"/>
          <w:szCs w:val="32"/>
        </w:rPr>
        <w:t>3</w:t>
      </w:r>
      <w:r>
        <w:rPr>
          <w:rFonts w:ascii="黑体" w:eastAsia="黑体" w:hAnsi="黑体" w:hint="eastAsia"/>
          <w:sz w:val="32"/>
          <w:szCs w:val="32"/>
        </w:rPr>
        <w:t>项）</w:t>
      </w:r>
    </w:p>
    <w:p w14:paraId="31109B58" w14:textId="1116504F" w:rsidR="006D3842" w:rsidRPr="009E757D" w:rsidRDefault="006D3842" w:rsidP="006D3842">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1.</w:t>
      </w:r>
      <w:r w:rsidRPr="009E757D">
        <w:rPr>
          <w:rFonts w:ascii="仿宋_GB2312" w:eastAsia="仿宋_GB2312" w:hAnsi="宋体" w:hint="eastAsia"/>
          <w:sz w:val="32"/>
          <w:szCs w:val="30"/>
        </w:rPr>
        <w:t>特种作业人员无证上岗，</w:t>
      </w:r>
      <w:r w:rsidRPr="009E757D">
        <w:rPr>
          <w:rFonts w:ascii="仿宋_GB2312" w:eastAsia="仿宋_GB2312" w:hAnsi="黑体" w:hint="eastAsia"/>
          <w:sz w:val="32"/>
          <w:szCs w:val="32"/>
        </w:rPr>
        <w:t>生产经营单位主要负责人、安全管理人员和外包工程项目负责人未取得安全生产知识和管理能力考核合格证，</w:t>
      </w:r>
      <w:r w:rsidRPr="009E757D">
        <w:rPr>
          <w:rFonts w:ascii="仿宋_GB2312" w:eastAsia="仿宋_GB2312" w:hAnsi="宋体" w:hint="eastAsia"/>
          <w:sz w:val="32"/>
          <w:szCs w:val="30"/>
        </w:rPr>
        <w:t>在硫化氢环境中作业的人员未经硫化氢防护培训合格，从事钻井、完井、修井、测试作业的重要岗位人员未按照法规要求经井控技术培训合格。</w:t>
      </w:r>
    </w:p>
    <w:p w14:paraId="65244493" w14:textId="77777777" w:rsidR="006D3842" w:rsidRPr="009E757D" w:rsidRDefault="006D3842" w:rsidP="006D3842">
      <w:pPr>
        <w:spacing w:line="560" w:lineRule="exact"/>
        <w:ind w:firstLineChars="200" w:firstLine="640"/>
        <w:rPr>
          <w:rFonts w:ascii="仿宋_GB2312" w:eastAsia="仿宋_GB2312" w:hAnsi="宋体"/>
          <w:sz w:val="32"/>
          <w:szCs w:val="30"/>
        </w:rPr>
      </w:pPr>
      <w:r>
        <w:rPr>
          <w:rFonts w:ascii="仿宋_GB2312" w:eastAsia="仿宋_GB2312" w:hAnsi="宋体"/>
          <w:sz w:val="32"/>
          <w:szCs w:val="30"/>
        </w:rPr>
        <w:t>2.</w:t>
      </w:r>
      <w:r w:rsidRPr="009E757D">
        <w:rPr>
          <w:rFonts w:ascii="仿宋_GB2312" w:eastAsia="仿宋_GB2312" w:hAnsi="宋体" w:hint="eastAsia"/>
          <w:sz w:val="32"/>
          <w:szCs w:val="30"/>
        </w:rPr>
        <w:t>将项目发包给不具备相应资质的承包商，或未按规定签订安全生产管理协议。</w:t>
      </w:r>
    </w:p>
    <w:p w14:paraId="3B67B1CA" w14:textId="77777777" w:rsidR="006D3842" w:rsidRPr="009E757D" w:rsidRDefault="006D3842" w:rsidP="006D3842">
      <w:pPr>
        <w:spacing w:line="560" w:lineRule="exact"/>
        <w:ind w:firstLineChars="200" w:firstLine="640"/>
        <w:rPr>
          <w:rFonts w:ascii="仿宋_GB2312" w:eastAsia="仿宋_GB2312" w:hAnsi="宋体"/>
          <w:sz w:val="32"/>
          <w:szCs w:val="30"/>
        </w:rPr>
      </w:pPr>
      <w:r>
        <w:rPr>
          <w:rFonts w:ascii="仿宋_GB2312" w:eastAsia="仿宋_GB2312" w:hAnsi="宋体"/>
          <w:sz w:val="32"/>
          <w:szCs w:val="30"/>
        </w:rPr>
        <w:t>3</w:t>
      </w:r>
      <w:r w:rsidRPr="009E757D">
        <w:rPr>
          <w:rFonts w:ascii="仿宋_GB2312" w:eastAsia="仿宋_GB2312" w:hAnsi="宋体" w:hint="eastAsia"/>
          <w:sz w:val="32"/>
          <w:szCs w:val="30"/>
        </w:rPr>
        <w:t>.</w:t>
      </w:r>
      <w:r>
        <w:rPr>
          <w:rFonts w:ascii="仿宋_GB2312" w:eastAsia="仿宋_GB2312" w:hAnsi="宋体" w:hint="eastAsia"/>
          <w:sz w:val="32"/>
          <w:szCs w:val="30"/>
        </w:rPr>
        <w:t>两个及以上生产经营单位</w:t>
      </w:r>
      <w:r w:rsidRPr="009E757D">
        <w:rPr>
          <w:rFonts w:ascii="仿宋_GB2312" w:eastAsia="仿宋_GB2312" w:hAnsi="宋体" w:hint="eastAsia"/>
          <w:sz w:val="32"/>
          <w:szCs w:val="30"/>
        </w:rPr>
        <w:t>交叉作业未明确作业过程中各自的安全管理职责，或未指定负责现场统一协调安全管理的人员。</w:t>
      </w:r>
    </w:p>
    <w:p w14:paraId="141C6BED" w14:textId="77777777" w:rsidR="006D3842" w:rsidRPr="009E757D" w:rsidRDefault="006D3842" w:rsidP="006D3842">
      <w:pPr>
        <w:spacing w:line="560" w:lineRule="exact"/>
        <w:ind w:firstLineChars="200" w:firstLine="640"/>
        <w:rPr>
          <w:rFonts w:ascii="仿宋_GB2312" w:eastAsia="仿宋_GB2312" w:hAnsi="黑体"/>
          <w:sz w:val="32"/>
          <w:szCs w:val="32"/>
        </w:rPr>
      </w:pPr>
      <w:r w:rsidRPr="009E757D">
        <w:rPr>
          <w:rFonts w:ascii="仿宋_GB2312" w:eastAsia="仿宋_GB2312" w:hAnsi="黑体" w:hint="eastAsia"/>
          <w:sz w:val="32"/>
          <w:szCs w:val="32"/>
        </w:rPr>
        <w:t>4.区域探井和高压、高含硫、高产油气井钻(修)井作业未经开工验收合格，未经建设单位批准钻开油气层或打（射）开目的层；配制的钻(修)井液密度和PH值或储备加重钻井</w:t>
      </w:r>
      <w:r w:rsidRPr="009E757D">
        <w:rPr>
          <w:rFonts w:ascii="仿宋_GB2312" w:eastAsia="仿宋_GB2312" w:hAnsi="黑体" w:hint="eastAsia"/>
          <w:sz w:val="32"/>
          <w:szCs w:val="32"/>
        </w:rPr>
        <w:lastRenderedPageBreak/>
        <w:t>液、加重剂不符合设计要求。</w:t>
      </w:r>
    </w:p>
    <w:p w14:paraId="216518E6" w14:textId="77777777" w:rsidR="006D3842" w:rsidRPr="009E757D" w:rsidRDefault="006D3842" w:rsidP="006D3842">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5</w:t>
      </w:r>
      <w:r w:rsidRPr="009E757D">
        <w:rPr>
          <w:rFonts w:ascii="仿宋_GB2312" w:eastAsia="仿宋_GB2312" w:hAnsi="黑体" w:hint="eastAsia"/>
          <w:sz w:val="32"/>
          <w:szCs w:val="32"/>
        </w:rPr>
        <w:t>.在运行的油气生产设施、输送管道、储罐、容器上动火作业，</w:t>
      </w:r>
      <w:r>
        <w:rPr>
          <w:rFonts w:ascii="仿宋_GB2312" w:eastAsia="仿宋_GB2312" w:hAnsi="黑体" w:hint="eastAsia"/>
          <w:sz w:val="32"/>
          <w:szCs w:val="32"/>
        </w:rPr>
        <w:t>或</w:t>
      </w:r>
      <w:r w:rsidRPr="009E757D">
        <w:rPr>
          <w:rFonts w:ascii="仿宋_GB2312" w:eastAsia="仿宋_GB2312" w:hAnsi="黑体" w:hint="eastAsia"/>
          <w:sz w:val="32"/>
          <w:szCs w:val="32"/>
        </w:rPr>
        <w:t>进入存在有毒有害物质、缺氧窒息风险、情况不明的受限空间作业，</w:t>
      </w:r>
      <w:r>
        <w:rPr>
          <w:rFonts w:ascii="仿宋_GB2312" w:eastAsia="仿宋_GB2312" w:hAnsi="黑体" w:hint="eastAsia"/>
          <w:sz w:val="32"/>
          <w:szCs w:val="32"/>
        </w:rPr>
        <w:t>或</w:t>
      </w:r>
      <w:r w:rsidRPr="009E757D">
        <w:rPr>
          <w:rFonts w:ascii="仿宋_GB2312" w:eastAsia="仿宋_GB2312" w:hAnsi="黑体" w:hint="eastAsia"/>
          <w:sz w:val="32"/>
          <w:szCs w:val="32"/>
        </w:rPr>
        <w:t>进行潜水作业，</w:t>
      </w:r>
      <w:r w:rsidRPr="009E757D">
        <w:rPr>
          <w:rFonts w:ascii="仿宋_GB2312" w:eastAsia="仿宋_GB2312" w:hAnsi="宋体" w:hint="eastAsia"/>
          <w:sz w:val="32"/>
          <w:szCs w:val="30"/>
        </w:rPr>
        <w:t>未执行审批制度或作业前未确认安全条件。</w:t>
      </w:r>
    </w:p>
    <w:p w14:paraId="3E78F311" w14:textId="77777777" w:rsidR="006D3842" w:rsidRPr="009E757D" w:rsidRDefault="006D3842" w:rsidP="006D3842">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6</w:t>
      </w:r>
      <w:r w:rsidRPr="009E757D">
        <w:rPr>
          <w:rFonts w:ascii="仿宋_GB2312" w:eastAsia="仿宋_GB2312" w:hAnsi="黑体" w:hint="eastAsia"/>
          <w:sz w:val="32"/>
          <w:szCs w:val="32"/>
        </w:rPr>
        <w:t>.</w:t>
      </w:r>
      <w:r w:rsidRPr="009E757D">
        <w:rPr>
          <w:rFonts w:ascii="仿宋_GB2312" w:eastAsia="仿宋_GB2312" w:hAnsi="宋体" w:hint="eastAsia"/>
          <w:sz w:val="32"/>
          <w:szCs w:val="30"/>
        </w:rPr>
        <w:t>在硫化氢环境中作业的人员</w:t>
      </w:r>
      <w:r w:rsidRPr="009E757D">
        <w:rPr>
          <w:rFonts w:ascii="仿宋_GB2312" w:eastAsia="仿宋_GB2312" w:hAnsi="黑体" w:hint="eastAsia"/>
          <w:sz w:val="32"/>
          <w:szCs w:val="32"/>
        </w:rPr>
        <w:t>未按规定配备使用硫化氢防护装备。</w:t>
      </w:r>
    </w:p>
    <w:p w14:paraId="41119FE7" w14:textId="77777777" w:rsidR="006D3842" w:rsidRPr="009E757D" w:rsidRDefault="006D3842" w:rsidP="006D3842">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7</w:t>
      </w:r>
      <w:r w:rsidRPr="009E757D">
        <w:rPr>
          <w:rFonts w:ascii="仿宋_GB2312" w:eastAsia="仿宋_GB2312" w:hAnsi="黑体" w:hint="eastAsia"/>
          <w:sz w:val="32"/>
          <w:szCs w:val="32"/>
        </w:rPr>
        <w:t>.水泥浆未达到固井设计要求的候凝时间即进行下步井筒作业。</w:t>
      </w:r>
    </w:p>
    <w:p w14:paraId="5C303AC1" w14:textId="77777777" w:rsidR="006D3842" w:rsidRPr="009E757D" w:rsidRDefault="006D3842" w:rsidP="006D3842">
      <w:pPr>
        <w:spacing w:line="560" w:lineRule="exact"/>
        <w:ind w:firstLineChars="200" w:firstLine="640"/>
        <w:rPr>
          <w:rFonts w:ascii="仿宋_GB2312" w:eastAsia="仿宋_GB2312" w:hAnsi="宋体"/>
          <w:sz w:val="32"/>
          <w:szCs w:val="30"/>
        </w:rPr>
      </w:pPr>
      <w:r>
        <w:rPr>
          <w:rFonts w:ascii="仿宋_GB2312" w:eastAsia="仿宋_GB2312" w:hAnsi="宋体"/>
          <w:sz w:val="32"/>
          <w:szCs w:val="30"/>
        </w:rPr>
        <w:t>8</w:t>
      </w:r>
      <w:r w:rsidRPr="009E757D">
        <w:rPr>
          <w:rFonts w:ascii="仿宋_GB2312" w:eastAsia="仿宋_GB2312" w:hAnsi="宋体" w:hint="eastAsia"/>
          <w:sz w:val="32"/>
          <w:szCs w:val="30"/>
        </w:rPr>
        <w:t>.未按法规、标准要求设置可燃气体探测报警系统、有毒有害气体探测报警系统、火灾探测报警系统、紧急关断系统，或系统主要功能失效。</w:t>
      </w:r>
    </w:p>
    <w:p w14:paraId="414AF626" w14:textId="77777777" w:rsidR="006D3842" w:rsidRPr="009E757D" w:rsidRDefault="006D3842" w:rsidP="006D3842">
      <w:pPr>
        <w:spacing w:line="560" w:lineRule="exact"/>
        <w:ind w:firstLineChars="200" w:firstLine="640"/>
        <w:rPr>
          <w:rFonts w:ascii="仿宋_GB2312" w:eastAsia="仿宋_GB2312" w:hAnsi="宋体"/>
          <w:sz w:val="32"/>
          <w:szCs w:val="30"/>
        </w:rPr>
      </w:pPr>
      <w:r>
        <w:rPr>
          <w:rFonts w:ascii="仿宋_GB2312" w:eastAsia="仿宋_GB2312" w:hAnsi="宋体"/>
          <w:sz w:val="32"/>
          <w:szCs w:val="30"/>
        </w:rPr>
        <w:t>9</w:t>
      </w:r>
      <w:r w:rsidRPr="009E757D">
        <w:rPr>
          <w:rFonts w:ascii="仿宋_GB2312" w:eastAsia="仿宋_GB2312" w:hAnsi="宋体" w:hint="eastAsia"/>
          <w:sz w:val="32"/>
          <w:szCs w:val="30"/>
        </w:rPr>
        <w:t>.划分为0类和1类的危险区未按法规、标准的要求设置防爆设备。</w:t>
      </w:r>
    </w:p>
    <w:p w14:paraId="73D1E931" w14:textId="77777777" w:rsidR="006D3842" w:rsidRPr="009E757D" w:rsidRDefault="006D3842" w:rsidP="006D3842">
      <w:pPr>
        <w:spacing w:line="560" w:lineRule="exact"/>
        <w:ind w:firstLineChars="200" w:firstLine="640"/>
        <w:rPr>
          <w:rFonts w:ascii="仿宋_GB2312" w:eastAsia="仿宋_GB2312" w:hAnsi="宋体"/>
          <w:sz w:val="32"/>
          <w:szCs w:val="30"/>
        </w:rPr>
      </w:pPr>
      <w:r w:rsidRPr="009E757D">
        <w:rPr>
          <w:rFonts w:ascii="仿宋_GB2312" w:eastAsia="仿宋_GB2312" w:hAnsi="宋体" w:hint="eastAsia"/>
          <w:sz w:val="32"/>
          <w:szCs w:val="30"/>
        </w:rPr>
        <w:t>1</w:t>
      </w:r>
      <w:r>
        <w:rPr>
          <w:rFonts w:ascii="仿宋_GB2312" w:eastAsia="仿宋_GB2312" w:hAnsi="宋体"/>
          <w:sz w:val="32"/>
          <w:szCs w:val="30"/>
        </w:rPr>
        <w:t>0</w:t>
      </w:r>
      <w:r w:rsidRPr="009E757D">
        <w:rPr>
          <w:rFonts w:ascii="仿宋_GB2312" w:eastAsia="仿宋_GB2312" w:hAnsi="宋体" w:hint="eastAsia"/>
          <w:sz w:val="32"/>
          <w:szCs w:val="30"/>
        </w:rPr>
        <w:t>.油气生产系统、火气探测系统的报警或联锁关断信号旁通未按控制程序进行管理。</w:t>
      </w:r>
    </w:p>
    <w:p w14:paraId="56EBF163" w14:textId="77777777" w:rsidR="006D3842" w:rsidRPr="009E757D" w:rsidRDefault="006D3842" w:rsidP="006D3842">
      <w:pPr>
        <w:spacing w:line="560" w:lineRule="exact"/>
        <w:ind w:firstLineChars="200" w:firstLine="640"/>
        <w:rPr>
          <w:rFonts w:ascii="仿宋_GB2312" w:eastAsia="仿宋_GB2312" w:hAnsi="宋体"/>
          <w:sz w:val="32"/>
          <w:szCs w:val="30"/>
        </w:rPr>
      </w:pPr>
      <w:r>
        <w:rPr>
          <w:rFonts w:ascii="仿宋_GB2312" w:eastAsia="仿宋_GB2312" w:hAnsi="宋体"/>
          <w:sz w:val="32"/>
          <w:szCs w:val="30"/>
        </w:rPr>
        <w:t>11</w:t>
      </w:r>
      <w:r w:rsidRPr="009E757D">
        <w:rPr>
          <w:rFonts w:ascii="仿宋_GB2312" w:eastAsia="仿宋_GB2312" w:hAnsi="宋体" w:hint="eastAsia"/>
          <w:sz w:val="32"/>
          <w:szCs w:val="30"/>
        </w:rPr>
        <w:t>.井控设备未按法规、标准的要求配置、安装、试压、检验</w:t>
      </w:r>
      <w:r>
        <w:rPr>
          <w:rFonts w:ascii="仿宋_GB2312" w:eastAsia="仿宋_GB2312" w:hAnsi="宋体" w:hint="eastAsia"/>
          <w:sz w:val="32"/>
          <w:szCs w:val="30"/>
        </w:rPr>
        <w:t>；</w:t>
      </w:r>
      <w:r w:rsidRPr="009E757D">
        <w:rPr>
          <w:rFonts w:ascii="仿宋_GB2312" w:eastAsia="仿宋_GB2312" w:hAnsi="黑体" w:hint="eastAsia"/>
          <w:sz w:val="32"/>
          <w:szCs w:val="32"/>
        </w:rPr>
        <w:t>地质录井在用气侵、溢流监测报警系统主要功能失效，或擅自停用。</w:t>
      </w:r>
    </w:p>
    <w:p w14:paraId="34985515" w14:textId="77777777" w:rsidR="006D3842" w:rsidRPr="009E757D" w:rsidRDefault="006D3842" w:rsidP="006D3842">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12.</w:t>
      </w:r>
      <w:r w:rsidRPr="009E757D">
        <w:rPr>
          <w:rFonts w:ascii="仿宋_GB2312" w:eastAsia="仿宋_GB2312" w:hAnsi="黑体" w:hint="eastAsia"/>
          <w:sz w:val="32"/>
          <w:szCs w:val="32"/>
        </w:rPr>
        <w:t>石油钻机和修井机未配备天车防碰系统或其主要功能失效，井架未经检验合格。</w:t>
      </w:r>
    </w:p>
    <w:p w14:paraId="5304D29B" w14:textId="77777777" w:rsidR="006D3842" w:rsidRPr="009E757D" w:rsidRDefault="006D3842" w:rsidP="006D3842">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13.</w:t>
      </w:r>
      <w:r w:rsidRPr="009E757D">
        <w:rPr>
          <w:rFonts w:ascii="仿宋_GB2312" w:eastAsia="仿宋_GB2312" w:hAnsi="黑体" w:hint="eastAsia"/>
          <w:sz w:val="32"/>
          <w:szCs w:val="32"/>
        </w:rPr>
        <w:t>采油（气）井的持续环空压力超过对应外层套管最小抗内压强度的80%，未进行安全风险评估并采取有效控制措施。</w:t>
      </w:r>
    </w:p>
    <w:p w14:paraId="7B106530" w14:textId="77777777" w:rsidR="006D3842" w:rsidRDefault="006D3842" w:rsidP="006D3842">
      <w:pPr>
        <w:spacing w:line="560" w:lineRule="exact"/>
        <w:ind w:firstLineChars="200" w:firstLine="640"/>
        <w:rPr>
          <w:rFonts w:ascii="仿宋_GB2312" w:eastAsia="仿宋_GB2312" w:hAnsi="黑体"/>
          <w:sz w:val="32"/>
          <w:szCs w:val="32"/>
        </w:rPr>
      </w:pPr>
      <w:r w:rsidRPr="004F6047">
        <w:rPr>
          <w:rFonts w:ascii="黑体" w:eastAsia="黑体" w:hAnsi="黑体" w:hint="eastAsia"/>
          <w:sz w:val="32"/>
          <w:szCs w:val="30"/>
        </w:rPr>
        <w:lastRenderedPageBreak/>
        <w:t>二、陆上石油</w:t>
      </w:r>
      <w:r>
        <w:rPr>
          <w:rFonts w:ascii="黑体" w:eastAsia="黑体" w:hAnsi="黑体" w:hint="eastAsia"/>
          <w:sz w:val="32"/>
          <w:szCs w:val="30"/>
        </w:rPr>
        <w:t>适用（9项）</w:t>
      </w:r>
    </w:p>
    <w:p w14:paraId="3F06DD52" w14:textId="77777777" w:rsidR="006D3842" w:rsidRDefault="006D3842" w:rsidP="006D3842">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1</w:t>
      </w:r>
      <w:r w:rsidRPr="009E757D">
        <w:rPr>
          <w:rFonts w:ascii="仿宋_GB2312" w:eastAsia="仿宋_GB2312" w:hAnsi="黑体" w:hint="eastAsia"/>
          <w:sz w:val="32"/>
          <w:szCs w:val="32"/>
        </w:rPr>
        <w:t>.陆上石油天然气开采单位未依法与其矿权范围交叉重叠且同时开采的主体单位签订安全生产管理协议。</w:t>
      </w:r>
    </w:p>
    <w:p w14:paraId="05656870" w14:textId="77777777" w:rsidR="006D3842" w:rsidRPr="009E757D" w:rsidRDefault="006D3842" w:rsidP="006D3842">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2</w:t>
      </w:r>
      <w:r w:rsidRPr="009E757D">
        <w:rPr>
          <w:rFonts w:ascii="仿宋_GB2312" w:eastAsia="仿宋_GB2312" w:hAnsi="黑体" w:hint="eastAsia"/>
          <w:sz w:val="32"/>
          <w:szCs w:val="32"/>
        </w:rPr>
        <w:t>.未</w:t>
      </w:r>
      <w:r>
        <w:rPr>
          <w:rFonts w:ascii="仿宋_GB2312" w:eastAsia="仿宋_GB2312" w:hAnsi="黑体" w:hint="eastAsia"/>
          <w:sz w:val="32"/>
          <w:szCs w:val="32"/>
        </w:rPr>
        <w:t>经依法审批</w:t>
      </w:r>
      <w:r w:rsidRPr="009E757D">
        <w:rPr>
          <w:rFonts w:ascii="仿宋_GB2312" w:eastAsia="仿宋_GB2312" w:hAnsi="黑体" w:hint="eastAsia"/>
          <w:sz w:val="32"/>
          <w:szCs w:val="32"/>
        </w:rPr>
        <w:t>擅自在含硫化氢天然气集输管道的安全距离内进行工程挖掘、工程钻探、采矿、爆破作业。</w:t>
      </w:r>
    </w:p>
    <w:p w14:paraId="1E643568" w14:textId="77777777" w:rsidR="006D3842" w:rsidRPr="009E757D" w:rsidRDefault="006D3842" w:rsidP="006D3842">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3</w:t>
      </w:r>
      <w:r w:rsidRPr="009E757D">
        <w:rPr>
          <w:rFonts w:ascii="仿宋_GB2312" w:eastAsia="仿宋_GB2312" w:hAnsi="黑体" w:hint="eastAsia"/>
          <w:sz w:val="32"/>
          <w:szCs w:val="32"/>
        </w:rPr>
        <w:t>.未对泥石流、滑坡等地质灾害易发区的油气管道、石油工程施工现场、生活营地进行安全风险评估并按设计要求采取控制措施。</w:t>
      </w:r>
    </w:p>
    <w:p w14:paraId="05618A69" w14:textId="77777777" w:rsidR="006D3842" w:rsidRDefault="006D3842" w:rsidP="006D3842">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4</w:t>
      </w:r>
      <w:r w:rsidRPr="009E757D">
        <w:rPr>
          <w:rFonts w:ascii="仿宋_GB2312" w:eastAsia="仿宋_GB2312" w:hAnsi="黑体" w:hint="eastAsia"/>
          <w:sz w:val="32"/>
          <w:szCs w:val="32"/>
        </w:rPr>
        <w:t>.三级及以上油气站场、高含硫化氢油气钻（修）井场与人员密集场所的公众安全防护距离不符合标准要求。</w:t>
      </w:r>
    </w:p>
    <w:p w14:paraId="0A079765" w14:textId="77777777" w:rsidR="006D3842" w:rsidRPr="009E757D" w:rsidRDefault="006D3842" w:rsidP="006D3842">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5</w:t>
      </w:r>
      <w:r w:rsidRPr="009E757D">
        <w:rPr>
          <w:rFonts w:ascii="仿宋_GB2312" w:eastAsia="仿宋_GB2312" w:hAnsi="黑体" w:hint="eastAsia"/>
          <w:sz w:val="32"/>
          <w:szCs w:val="32"/>
        </w:rPr>
        <w:t>.区域探井、天然气井、高含硫化氢油井钻（修）井作业未按标准配置放喷点火装置。</w:t>
      </w:r>
    </w:p>
    <w:p w14:paraId="6047A879" w14:textId="77777777" w:rsidR="006D3842" w:rsidRPr="009E757D" w:rsidRDefault="006D3842" w:rsidP="006D3842">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6</w:t>
      </w:r>
      <w:r w:rsidRPr="009E757D">
        <w:rPr>
          <w:rFonts w:ascii="仿宋_GB2312" w:eastAsia="仿宋_GB2312" w:hAnsi="黑体" w:hint="eastAsia"/>
          <w:sz w:val="32"/>
          <w:szCs w:val="32"/>
        </w:rPr>
        <w:t>.液态烃、压缩天然气运输槽车充装系统未按标准安装紧急切断阀和防脱拉断阀。</w:t>
      </w:r>
    </w:p>
    <w:p w14:paraId="38171F4C" w14:textId="77777777" w:rsidR="006D3842" w:rsidRPr="009E757D" w:rsidRDefault="006D3842" w:rsidP="006D3842">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7</w:t>
      </w:r>
      <w:r w:rsidRPr="009E757D">
        <w:rPr>
          <w:rFonts w:ascii="仿宋_GB2312" w:eastAsia="仿宋_GB2312" w:hAnsi="黑体" w:hint="eastAsia"/>
          <w:sz w:val="32"/>
          <w:szCs w:val="32"/>
        </w:rPr>
        <w:t>.油库、油罐区、油品装卸区的防雷、防静电接地装置未按标准设置，或未定期检测。</w:t>
      </w:r>
    </w:p>
    <w:p w14:paraId="6A186B51" w14:textId="77777777" w:rsidR="006D3842" w:rsidRDefault="006D3842" w:rsidP="006D3842">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8</w:t>
      </w:r>
      <w:r w:rsidRPr="009E757D">
        <w:rPr>
          <w:rFonts w:ascii="仿宋_GB2312" w:eastAsia="仿宋_GB2312" w:hAnsi="黑体" w:hint="eastAsia"/>
          <w:sz w:val="32"/>
          <w:szCs w:val="32"/>
        </w:rPr>
        <w:t>.进出天然气站场的天然气管道未按标准设置截断阀。</w:t>
      </w:r>
    </w:p>
    <w:p w14:paraId="45D9F1EB" w14:textId="77777777" w:rsidR="006D3842" w:rsidRPr="003565AB" w:rsidRDefault="006D3842" w:rsidP="006D3842">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9</w:t>
      </w:r>
      <w:r w:rsidRPr="009E757D">
        <w:rPr>
          <w:rFonts w:ascii="仿宋_GB2312" w:eastAsia="仿宋_GB2312" w:hAnsi="黑体" w:hint="eastAsia"/>
          <w:sz w:val="32"/>
          <w:szCs w:val="32"/>
        </w:rPr>
        <w:t>.压裂管汇元件未经检测合格，施工高压区未采取有效隔离措施。</w:t>
      </w:r>
    </w:p>
    <w:p w14:paraId="5522A900" w14:textId="77777777" w:rsidR="006D3842" w:rsidRPr="004F6047" w:rsidRDefault="006D3842" w:rsidP="006D3842">
      <w:pPr>
        <w:spacing w:line="560" w:lineRule="exact"/>
        <w:ind w:firstLineChars="200" w:firstLine="640"/>
        <w:rPr>
          <w:rFonts w:ascii="黑体" w:eastAsia="黑体" w:hAnsi="黑体"/>
          <w:sz w:val="32"/>
          <w:szCs w:val="32"/>
        </w:rPr>
      </w:pPr>
      <w:r w:rsidRPr="004F6047">
        <w:rPr>
          <w:rFonts w:ascii="黑体" w:eastAsia="黑体" w:hAnsi="黑体" w:hint="eastAsia"/>
          <w:sz w:val="32"/>
          <w:szCs w:val="32"/>
        </w:rPr>
        <w:t>三、海洋石油</w:t>
      </w:r>
      <w:r>
        <w:rPr>
          <w:rFonts w:ascii="黑体" w:eastAsia="黑体" w:hAnsi="黑体" w:hint="eastAsia"/>
          <w:sz w:val="32"/>
          <w:szCs w:val="32"/>
        </w:rPr>
        <w:t>适用</w:t>
      </w:r>
      <w:r>
        <w:rPr>
          <w:rFonts w:ascii="黑体" w:eastAsia="黑体" w:hAnsi="黑体" w:hint="eastAsia"/>
          <w:sz w:val="32"/>
          <w:szCs w:val="30"/>
        </w:rPr>
        <w:t>（9项）</w:t>
      </w:r>
    </w:p>
    <w:p w14:paraId="2DBA3CAB" w14:textId="77777777" w:rsidR="006D3842" w:rsidRPr="009E757D" w:rsidRDefault="006D3842" w:rsidP="006D3842">
      <w:pPr>
        <w:spacing w:line="560" w:lineRule="exact"/>
        <w:ind w:firstLineChars="200" w:firstLine="640"/>
        <w:rPr>
          <w:rFonts w:ascii="仿宋_GB2312" w:eastAsia="仿宋_GB2312" w:hAnsi="宋体"/>
          <w:sz w:val="32"/>
          <w:szCs w:val="30"/>
        </w:rPr>
      </w:pPr>
      <w:r>
        <w:rPr>
          <w:rFonts w:ascii="仿宋_GB2312" w:eastAsia="仿宋_GB2312" w:hAnsi="宋体"/>
          <w:sz w:val="32"/>
          <w:szCs w:val="30"/>
        </w:rPr>
        <w:t>1</w:t>
      </w:r>
      <w:r w:rsidRPr="009E757D">
        <w:rPr>
          <w:rFonts w:ascii="仿宋_GB2312" w:eastAsia="仿宋_GB2312" w:hAnsi="宋体" w:hint="eastAsia"/>
          <w:sz w:val="32"/>
          <w:szCs w:val="30"/>
        </w:rPr>
        <w:t>.海洋石油生产设施未取得发证检验证书。</w:t>
      </w:r>
    </w:p>
    <w:p w14:paraId="5CB63387" w14:textId="77777777" w:rsidR="006D3842" w:rsidRPr="009E757D" w:rsidRDefault="006D3842" w:rsidP="006D3842">
      <w:pPr>
        <w:spacing w:line="560" w:lineRule="exact"/>
        <w:ind w:firstLineChars="200" w:firstLine="640"/>
        <w:rPr>
          <w:rFonts w:ascii="仿宋_GB2312" w:eastAsia="仿宋_GB2312" w:hAnsi="宋体"/>
          <w:sz w:val="32"/>
          <w:szCs w:val="30"/>
        </w:rPr>
      </w:pPr>
      <w:r>
        <w:rPr>
          <w:rFonts w:ascii="仿宋_GB2312" w:eastAsia="仿宋_GB2312" w:hAnsi="宋体"/>
          <w:sz w:val="32"/>
          <w:szCs w:val="30"/>
        </w:rPr>
        <w:t>2</w:t>
      </w:r>
      <w:r w:rsidRPr="009E757D">
        <w:rPr>
          <w:rFonts w:ascii="仿宋_GB2312" w:eastAsia="仿宋_GB2312" w:hAnsi="宋体" w:hint="eastAsia"/>
          <w:sz w:val="32"/>
          <w:szCs w:val="30"/>
        </w:rPr>
        <w:t>.自升式钻井平台插桩作业前未根据井场调查报告进行风险分析并完成应急预案。</w:t>
      </w:r>
    </w:p>
    <w:p w14:paraId="54E39FDA" w14:textId="77777777" w:rsidR="006D3842" w:rsidRDefault="006D3842" w:rsidP="006D3842">
      <w:pPr>
        <w:spacing w:line="560" w:lineRule="exact"/>
        <w:ind w:firstLineChars="200" w:firstLine="640"/>
        <w:rPr>
          <w:rFonts w:ascii="仿宋_GB2312" w:eastAsia="仿宋_GB2312" w:hAnsi="宋体"/>
          <w:sz w:val="32"/>
          <w:szCs w:val="30"/>
        </w:rPr>
      </w:pPr>
      <w:r>
        <w:rPr>
          <w:rFonts w:ascii="仿宋_GB2312" w:eastAsia="仿宋_GB2312" w:hAnsi="宋体"/>
          <w:sz w:val="32"/>
          <w:szCs w:val="30"/>
        </w:rPr>
        <w:t>3</w:t>
      </w:r>
      <w:r w:rsidRPr="009E757D">
        <w:rPr>
          <w:rFonts w:ascii="仿宋_GB2312" w:eastAsia="仿宋_GB2312" w:hAnsi="宋体" w:hint="eastAsia"/>
          <w:sz w:val="32"/>
          <w:szCs w:val="30"/>
        </w:rPr>
        <w:t>.海洋石油设施未制定</w:t>
      </w:r>
      <w:r>
        <w:rPr>
          <w:rFonts w:ascii="仿宋_GB2312" w:eastAsia="仿宋_GB2312" w:hAnsi="宋体" w:hint="eastAsia"/>
          <w:sz w:val="32"/>
          <w:szCs w:val="30"/>
        </w:rPr>
        <w:t>并</w:t>
      </w:r>
      <w:r w:rsidRPr="009E757D">
        <w:rPr>
          <w:rFonts w:ascii="仿宋_GB2312" w:eastAsia="仿宋_GB2312" w:hAnsi="宋体" w:hint="eastAsia"/>
          <w:sz w:val="32"/>
          <w:szCs w:val="30"/>
        </w:rPr>
        <w:t>执行防台风应急预案。</w:t>
      </w:r>
    </w:p>
    <w:p w14:paraId="3B7857EB" w14:textId="77777777" w:rsidR="006D3842" w:rsidRPr="009E757D" w:rsidRDefault="006D3842" w:rsidP="006D3842">
      <w:pPr>
        <w:spacing w:line="560" w:lineRule="exact"/>
        <w:ind w:firstLineChars="200" w:firstLine="640"/>
        <w:rPr>
          <w:rFonts w:ascii="仿宋_GB2312" w:eastAsia="仿宋_GB2312" w:hAnsi="宋体"/>
          <w:sz w:val="32"/>
          <w:szCs w:val="30"/>
        </w:rPr>
      </w:pPr>
      <w:r>
        <w:rPr>
          <w:rFonts w:ascii="仿宋_GB2312" w:eastAsia="仿宋_GB2312" w:hAnsi="宋体"/>
          <w:sz w:val="32"/>
          <w:szCs w:val="30"/>
        </w:rPr>
        <w:lastRenderedPageBreak/>
        <w:t>4</w:t>
      </w:r>
      <w:r w:rsidRPr="009E757D">
        <w:rPr>
          <w:rFonts w:ascii="仿宋_GB2312" w:eastAsia="仿宋_GB2312" w:hAnsi="宋体" w:hint="eastAsia"/>
          <w:sz w:val="32"/>
          <w:szCs w:val="30"/>
        </w:rPr>
        <w:t>.未按法规要求编制或修订生产安全事故应急预案，未按法规要求组织消防演习、弃平台（装置）演习、井控演习、人员落水救助演习、硫化氢演习。</w:t>
      </w:r>
    </w:p>
    <w:p w14:paraId="12D1B787" w14:textId="77777777" w:rsidR="006D3842" w:rsidRPr="009E757D" w:rsidRDefault="006D3842" w:rsidP="006D3842">
      <w:pPr>
        <w:spacing w:line="560" w:lineRule="exact"/>
        <w:ind w:firstLineChars="200" w:firstLine="640"/>
        <w:rPr>
          <w:rFonts w:ascii="仿宋_GB2312" w:eastAsia="仿宋_GB2312" w:hAnsi="宋体"/>
          <w:sz w:val="32"/>
          <w:szCs w:val="30"/>
        </w:rPr>
      </w:pPr>
      <w:r>
        <w:rPr>
          <w:rFonts w:ascii="仿宋_GB2312" w:eastAsia="仿宋_GB2312" w:hAnsi="宋体"/>
          <w:sz w:val="32"/>
          <w:szCs w:val="30"/>
        </w:rPr>
        <w:t>5</w:t>
      </w:r>
      <w:r w:rsidRPr="009E757D">
        <w:rPr>
          <w:rFonts w:ascii="仿宋_GB2312" w:eastAsia="仿宋_GB2312" w:hAnsi="宋体" w:hint="eastAsia"/>
          <w:sz w:val="32"/>
          <w:szCs w:val="30"/>
        </w:rPr>
        <w:t>.未按法规、标准的要求设置消防系统，或系统主要功能失效。</w:t>
      </w:r>
    </w:p>
    <w:p w14:paraId="127A71C4" w14:textId="3B4FF30F" w:rsidR="006D3842" w:rsidRPr="009E757D" w:rsidRDefault="006D3842" w:rsidP="006D3842">
      <w:pPr>
        <w:spacing w:line="560" w:lineRule="exact"/>
        <w:ind w:firstLineChars="200" w:firstLine="640"/>
        <w:rPr>
          <w:rFonts w:ascii="仿宋_GB2312" w:eastAsia="仿宋_GB2312" w:hAnsi="宋体"/>
          <w:sz w:val="32"/>
          <w:szCs w:val="30"/>
        </w:rPr>
      </w:pPr>
      <w:r>
        <w:rPr>
          <w:rFonts w:ascii="仿宋_GB2312" w:eastAsia="仿宋_GB2312" w:hAnsi="宋体"/>
          <w:sz w:val="32"/>
          <w:szCs w:val="30"/>
        </w:rPr>
        <w:t>6</w:t>
      </w:r>
      <w:r w:rsidRPr="009E757D">
        <w:rPr>
          <w:rFonts w:ascii="仿宋_GB2312" w:eastAsia="仿宋_GB2312" w:hAnsi="宋体" w:hint="eastAsia"/>
          <w:sz w:val="32"/>
          <w:szCs w:val="30"/>
        </w:rPr>
        <w:t>.救生艇（筏）的配置或布置不符合法规、标准要求，或救生艇的释放、动力、供气功能失效</w:t>
      </w:r>
      <w:r w:rsidR="005B786A">
        <w:rPr>
          <w:rFonts w:ascii="仿宋_GB2312" w:eastAsia="仿宋_GB2312" w:hAnsi="宋体" w:hint="eastAsia"/>
          <w:sz w:val="32"/>
          <w:szCs w:val="30"/>
        </w:rPr>
        <w:t>且</w:t>
      </w:r>
      <w:r w:rsidRPr="009E757D">
        <w:rPr>
          <w:rFonts w:ascii="仿宋_GB2312" w:eastAsia="仿宋_GB2312" w:hAnsi="宋体" w:hint="eastAsia"/>
          <w:sz w:val="32"/>
          <w:szCs w:val="30"/>
        </w:rPr>
        <w:t>未采取控制措施。</w:t>
      </w:r>
    </w:p>
    <w:p w14:paraId="7E6B16C2" w14:textId="77777777" w:rsidR="006D3842" w:rsidRPr="009E757D" w:rsidRDefault="006D3842" w:rsidP="006D3842">
      <w:pPr>
        <w:spacing w:line="560" w:lineRule="exact"/>
        <w:ind w:firstLineChars="200" w:firstLine="640"/>
        <w:rPr>
          <w:rFonts w:ascii="仿宋_GB2312" w:eastAsia="仿宋_GB2312" w:hAnsi="宋体"/>
          <w:sz w:val="32"/>
          <w:szCs w:val="30"/>
        </w:rPr>
      </w:pPr>
      <w:r>
        <w:rPr>
          <w:rFonts w:ascii="仿宋_GB2312" w:eastAsia="仿宋_GB2312" w:hAnsi="宋体"/>
          <w:sz w:val="32"/>
          <w:szCs w:val="30"/>
        </w:rPr>
        <w:t>7</w:t>
      </w:r>
      <w:r w:rsidRPr="009E757D">
        <w:rPr>
          <w:rFonts w:ascii="仿宋_GB2312" w:eastAsia="仿宋_GB2312" w:hAnsi="宋体" w:hint="eastAsia"/>
          <w:sz w:val="32"/>
          <w:szCs w:val="30"/>
        </w:rPr>
        <w:t>.气井、自喷井未按法规要求安装井下安全阀，或井下安全阀功能失效未进行安全风险评估和采取控制措施。</w:t>
      </w:r>
    </w:p>
    <w:p w14:paraId="6D551745" w14:textId="77777777" w:rsidR="006D3842" w:rsidRPr="009E757D" w:rsidRDefault="006D3842" w:rsidP="006D3842">
      <w:pPr>
        <w:spacing w:line="560" w:lineRule="exact"/>
        <w:ind w:firstLineChars="200" w:firstLine="640"/>
        <w:rPr>
          <w:rFonts w:ascii="仿宋_GB2312" w:eastAsia="仿宋_GB2312" w:hAnsi="宋体"/>
          <w:sz w:val="32"/>
          <w:szCs w:val="30"/>
        </w:rPr>
      </w:pPr>
      <w:r>
        <w:rPr>
          <w:rFonts w:ascii="仿宋_GB2312" w:eastAsia="仿宋_GB2312" w:hAnsi="宋体"/>
          <w:sz w:val="32"/>
          <w:szCs w:val="30"/>
        </w:rPr>
        <w:t>8</w:t>
      </w:r>
      <w:r w:rsidRPr="009E757D">
        <w:rPr>
          <w:rFonts w:ascii="仿宋_GB2312" w:eastAsia="仿宋_GB2312" w:hAnsi="宋体" w:hint="eastAsia"/>
          <w:sz w:val="32"/>
          <w:szCs w:val="30"/>
        </w:rPr>
        <w:t>.固定式导管架平台达到设计使用年限，未经对主结构安全风险评估合格并经发证检验机构确认继续服役。</w:t>
      </w:r>
    </w:p>
    <w:p w14:paraId="7CDE1B0C" w14:textId="26E234AA" w:rsidR="006D3842" w:rsidRPr="006D3842" w:rsidRDefault="006D3842" w:rsidP="00710B19">
      <w:pPr>
        <w:spacing w:line="560" w:lineRule="exact"/>
        <w:ind w:firstLineChars="200" w:firstLine="640"/>
        <w:rPr>
          <w:rFonts w:ascii="仿宋_GB2312" w:eastAsia="仿宋_GB2312"/>
          <w:sz w:val="36"/>
          <w:szCs w:val="36"/>
        </w:rPr>
      </w:pPr>
      <w:r>
        <w:rPr>
          <w:rFonts w:ascii="仿宋_GB2312" w:eastAsia="仿宋_GB2312" w:hAnsi="宋体"/>
          <w:sz w:val="32"/>
          <w:szCs w:val="30"/>
        </w:rPr>
        <w:t>9</w:t>
      </w:r>
      <w:r w:rsidRPr="009E757D">
        <w:rPr>
          <w:rFonts w:ascii="仿宋_GB2312" w:eastAsia="仿宋_GB2312" w:hAnsi="宋体" w:hint="eastAsia"/>
          <w:sz w:val="32"/>
          <w:szCs w:val="30"/>
        </w:rPr>
        <w:t>.浮式生产储油装置（FPSO）原油舱超压和真空未设置两级保护或两级保护功能失效。</w:t>
      </w:r>
    </w:p>
    <w:sectPr w:rsidR="006D3842" w:rsidRPr="006D3842" w:rsidSect="006711A3">
      <w:footerReference w:type="default" r:id="rId7"/>
      <w:pgSz w:w="11906" w:h="16838" w:code="9"/>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CDE7F" w14:textId="77777777" w:rsidR="004F52D6" w:rsidRDefault="004F52D6" w:rsidP="00A25512">
      <w:r>
        <w:separator/>
      </w:r>
    </w:p>
  </w:endnote>
  <w:endnote w:type="continuationSeparator" w:id="0">
    <w:p w14:paraId="6C09AC86" w14:textId="77777777" w:rsidR="004F52D6" w:rsidRDefault="004F52D6" w:rsidP="00A2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C077" w14:textId="77777777" w:rsidR="00766ACF" w:rsidRPr="00766ACF" w:rsidRDefault="00766ACF">
    <w:pPr>
      <w:pStyle w:val="a5"/>
      <w:jc w:val="center"/>
      <w:rPr>
        <w:caps/>
        <w:color w:val="000000" w:themeColor="text1"/>
        <w:sz w:val="24"/>
        <w:szCs w:val="24"/>
      </w:rPr>
    </w:pPr>
    <w:r w:rsidRPr="00766ACF">
      <w:rPr>
        <w:caps/>
        <w:color w:val="000000" w:themeColor="text1"/>
        <w:sz w:val="24"/>
        <w:szCs w:val="24"/>
      </w:rPr>
      <w:fldChar w:fldCharType="begin"/>
    </w:r>
    <w:r w:rsidRPr="00766ACF">
      <w:rPr>
        <w:caps/>
        <w:color w:val="000000" w:themeColor="text1"/>
        <w:sz w:val="24"/>
        <w:szCs w:val="24"/>
      </w:rPr>
      <w:instrText>PAGE   \* MERGEFORMAT</w:instrText>
    </w:r>
    <w:r w:rsidRPr="00766ACF">
      <w:rPr>
        <w:caps/>
        <w:color w:val="000000" w:themeColor="text1"/>
        <w:sz w:val="24"/>
        <w:szCs w:val="24"/>
      </w:rPr>
      <w:fldChar w:fldCharType="separate"/>
    </w:r>
    <w:r w:rsidRPr="00766ACF">
      <w:rPr>
        <w:caps/>
        <w:color w:val="000000" w:themeColor="text1"/>
        <w:sz w:val="24"/>
        <w:szCs w:val="24"/>
        <w:lang w:val="zh-CN"/>
      </w:rPr>
      <w:t>2</w:t>
    </w:r>
    <w:r w:rsidRPr="00766ACF">
      <w:rPr>
        <w:caps/>
        <w:color w:val="000000" w:themeColor="text1"/>
        <w:sz w:val="24"/>
        <w:szCs w:val="24"/>
      </w:rPr>
      <w:fldChar w:fldCharType="end"/>
    </w:r>
  </w:p>
  <w:p w14:paraId="191BA28A" w14:textId="77777777" w:rsidR="00766ACF" w:rsidRDefault="00766A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56974" w14:textId="77777777" w:rsidR="004F52D6" w:rsidRDefault="004F52D6" w:rsidP="00A25512">
      <w:r>
        <w:separator/>
      </w:r>
    </w:p>
  </w:footnote>
  <w:footnote w:type="continuationSeparator" w:id="0">
    <w:p w14:paraId="1E9B1E10" w14:textId="77777777" w:rsidR="004F52D6" w:rsidRDefault="004F52D6" w:rsidP="00A25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B6B98"/>
    <w:rsid w:val="FB1AD232"/>
    <w:rsid w:val="000031E1"/>
    <w:rsid w:val="000345F0"/>
    <w:rsid w:val="000565F2"/>
    <w:rsid w:val="000651E0"/>
    <w:rsid w:val="000A3BE6"/>
    <w:rsid w:val="000B2FC5"/>
    <w:rsid w:val="000E56F0"/>
    <w:rsid w:val="001235B1"/>
    <w:rsid w:val="00135B68"/>
    <w:rsid w:val="00147EEA"/>
    <w:rsid w:val="00167BF3"/>
    <w:rsid w:val="0018218D"/>
    <w:rsid w:val="001E3FA1"/>
    <w:rsid w:val="00213718"/>
    <w:rsid w:val="002269A4"/>
    <w:rsid w:val="002370BE"/>
    <w:rsid w:val="002442C8"/>
    <w:rsid w:val="002617BE"/>
    <w:rsid w:val="002842E1"/>
    <w:rsid w:val="00293DF0"/>
    <w:rsid w:val="0029691C"/>
    <w:rsid w:val="002A098A"/>
    <w:rsid w:val="002A7BD3"/>
    <w:rsid w:val="002C3E41"/>
    <w:rsid w:val="002E0381"/>
    <w:rsid w:val="002E26A6"/>
    <w:rsid w:val="002F4112"/>
    <w:rsid w:val="0030114C"/>
    <w:rsid w:val="0031167B"/>
    <w:rsid w:val="003212C7"/>
    <w:rsid w:val="00324567"/>
    <w:rsid w:val="00330333"/>
    <w:rsid w:val="00332A15"/>
    <w:rsid w:val="00347232"/>
    <w:rsid w:val="003673E4"/>
    <w:rsid w:val="00387AB1"/>
    <w:rsid w:val="00390D37"/>
    <w:rsid w:val="003932A7"/>
    <w:rsid w:val="0039394B"/>
    <w:rsid w:val="003B6B98"/>
    <w:rsid w:val="003C616A"/>
    <w:rsid w:val="003E0D28"/>
    <w:rsid w:val="003E40C9"/>
    <w:rsid w:val="003E4190"/>
    <w:rsid w:val="0041215B"/>
    <w:rsid w:val="0041558B"/>
    <w:rsid w:val="00426CFE"/>
    <w:rsid w:val="00442D2C"/>
    <w:rsid w:val="00491447"/>
    <w:rsid w:val="0049659A"/>
    <w:rsid w:val="004A2786"/>
    <w:rsid w:val="004A7986"/>
    <w:rsid w:val="004B5399"/>
    <w:rsid w:val="004C6D42"/>
    <w:rsid w:val="004C77CA"/>
    <w:rsid w:val="004D276B"/>
    <w:rsid w:val="004E143D"/>
    <w:rsid w:val="004E4413"/>
    <w:rsid w:val="004F52D6"/>
    <w:rsid w:val="00527821"/>
    <w:rsid w:val="00530118"/>
    <w:rsid w:val="0054012C"/>
    <w:rsid w:val="0054647A"/>
    <w:rsid w:val="00546F03"/>
    <w:rsid w:val="00555DA0"/>
    <w:rsid w:val="005616DA"/>
    <w:rsid w:val="0056609C"/>
    <w:rsid w:val="005B064D"/>
    <w:rsid w:val="005B786A"/>
    <w:rsid w:val="005D1D94"/>
    <w:rsid w:val="005D34CB"/>
    <w:rsid w:val="005E4FD4"/>
    <w:rsid w:val="005F519C"/>
    <w:rsid w:val="00600DD9"/>
    <w:rsid w:val="0063318A"/>
    <w:rsid w:val="0063343B"/>
    <w:rsid w:val="0065675A"/>
    <w:rsid w:val="00664DA2"/>
    <w:rsid w:val="006711A3"/>
    <w:rsid w:val="0069579D"/>
    <w:rsid w:val="00696AEF"/>
    <w:rsid w:val="006D2708"/>
    <w:rsid w:val="006D3842"/>
    <w:rsid w:val="006D5B4E"/>
    <w:rsid w:val="006E7357"/>
    <w:rsid w:val="00704434"/>
    <w:rsid w:val="00710B19"/>
    <w:rsid w:val="00736C1D"/>
    <w:rsid w:val="007503DC"/>
    <w:rsid w:val="0075154D"/>
    <w:rsid w:val="00754DBE"/>
    <w:rsid w:val="00766ACF"/>
    <w:rsid w:val="007879C9"/>
    <w:rsid w:val="00791CF6"/>
    <w:rsid w:val="00792D81"/>
    <w:rsid w:val="007B4814"/>
    <w:rsid w:val="007B5480"/>
    <w:rsid w:val="007E253E"/>
    <w:rsid w:val="007F27CC"/>
    <w:rsid w:val="007F5EFD"/>
    <w:rsid w:val="00813C92"/>
    <w:rsid w:val="00814D1A"/>
    <w:rsid w:val="00831B58"/>
    <w:rsid w:val="00846257"/>
    <w:rsid w:val="0085024B"/>
    <w:rsid w:val="00855C9D"/>
    <w:rsid w:val="008E360F"/>
    <w:rsid w:val="008F6555"/>
    <w:rsid w:val="008F7E97"/>
    <w:rsid w:val="0090293E"/>
    <w:rsid w:val="00903723"/>
    <w:rsid w:val="009131E4"/>
    <w:rsid w:val="0092492B"/>
    <w:rsid w:val="00950B58"/>
    <w:rsid w:val="009763D7"/>
    <w:rsid w:val="009B25AB"/>
    <w:rsid w:val="009C2117"/>
    <w:rsid w:val="009C7C0D"/>
    <w:rsid w:val="009E5801"/>
    <w:rsid w:val="00A02DAD"/>
    <w:rsid w:val="00A03793"/>
    <w:rsid w:val="00A14E82"/>
    <w:rsid w:val="00A25512"/>
    <w:rsid w:val="00A27146"/>
    <w:rsid w:val="00A27AF7"/>
    <w:rsid w:val="00A3022D"/>
    <w:rsid w:val="00A30359"/>
    <w:rsid w:val="00A377E9"/>
    <w:rsid w:val="00A87246"/>
    <w:rsid w:val="00A877D9"/>
    <w:rsid w:val="00A912E7"/>
    <w:rsid w:val="00A91694"/>
    <w:rsid w:val="00AA501C"/>
    <w:rsid w:val="00AB07AA"/>
    <w:rsid w:val="00AB4B29"/>
    <w:rsid w:val="00AC75FA"/>
    <w:rsid w:val="00AE6C72"/>
    <w:rsid w:val="00AF773A"/>
    <w:rsid w:val="00B0455C"/>
    <w:rsid w:val="00B07F75"/>
    <w:rsid w:val="00B27246"/>
    <w:rsid w:val="00B3164F"/>
    <w:rsid w:val="00B322C7"/>
    <w:rsid w:val="00B36951"/>
    <w:rsid w:val="00B409E4"/>
    <w:rsid w:val="00B62C75"/>
    <w:rsid w:val="00B873FD"/>
    <w:rsid w:val="00BA7071"/>
    <w:rsid w:val="00BB05DB"/>
    <w:rsid w:val="00BC5B5E"/>
    <w:rsid w:val="00BD5DD3"/>
    <w:rsid w:val="00BE53E7"/>
    <w:rsid w:val="00BF0CDA"/>
    <w:rsid w:val="00BF18A5"/>
    <w:rsid w:val="00C25D42"/>
    <w:rsid w:val="00C31A64"/>
    <w:rsid w:val="00C803A9"/>
    <w:rsid w:val="00CC787B"/>
    <w:rsid w:val="00CD52AA"/>
    <w:rsid w:val="00D35F0B"/>
    <w:rsid w:val="00D626EE"/>
    <w:rsid w:val="00D647B8"/>
    <w:rsid w:val="00D66AF2"/>
    <w:rsid w:val="00D9593F"/>
    <w:rsid w:val="00DB6DF1"/>
    <w:rsid w:val="00DE4148"/>
    <w:rsid w:val="00DE54C6"/>
    <w:rsid w:val="00E125F2"/>
    <w:rsid w:val="00E436AF"/>
    <w:rsid w:val="00E518FF"/>
    <w:rsid w:val="00E5456C"/>
    <w:rsid w:val="00E551AE"/>
    <w:rsid w:val="00E569E4"/>
    <w:rsid w:val="00E5768A"/>
    <w:rsid w:val="00E922E4"/>
    <w:rsid w:val="00EA6AB5"/>
    <w:rsid w:val="00EB232D"/>
    <w:rsid w:val="00EB5D99"/>
    <w:rsid w:val="00EC28F1"/>
    <w:rsid w:val="00EC73E3"/>
    <w:rsid w:val="00ED6C11"/>
    <w:rsid w:val="00EE5B76"/>
    <w:rsid w:val="00EF256A"/>
    <w:rsid w:val="00EF3FC2"/>
    <w:rsid w:val="00F058E4"/>
    <w:rsid w:val="00F25331"/>
    <w:rsid w:val="00F3553A"/>
    <w:rsid w:val="00F6260E"/>
    <w:rsid w:val="00F647F7"/>
    <w:rsid w:val="00F72FBF"/>
    <w:rsid w:val="00F7383E"/>
    <w:rsid w:val="00F95F2D"/>
    <w:rsid w:val="00FA4264"/>
    <w:rsid w:val="00FB1348"/>
    <w:rsid w:val="00FE1A5C"/>
    <w:rsid w:val="2F8FEF0D"/>
    <w:rsid w:val="3B5FBAF5"/>
    <w:rsid w:val="4D3CB9F7"/>
    <w:rsid w:val="513E6994"/>
    <w:rsid w:val="52836A02"/>
    <w:rsid w:val="77E506FD"/>
    <w:rsid w:val="7B3ACE3D"/>
    <w:rsid w:val="7DDC6B9F"/>
    <w:rsid w:val="7EF8116A"/>
    <w:rsid w:val="7FAF19E9"/>
    <w:rsid w:val="7FDB42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4D5F4"/>
  <w15:docId w15:val="{375AD582-1519-4E7C-A511-B4BCCD81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512"/>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rsid w:val="00A25512"/>
    <w:pPr>
      <w:ind w:leftChars="2500" w:left="100"/>
    </w:pPr>
  </w:style>
  <w:style w:type="paragraph" w:styleId="a5">
    <w:name w:val="footer"/>
    <w:basedOn w:val="a"/>
    <w:link w:val="a6"/>
    <w:uiPriority w:val="99"/>
    <w:unhideWhenUsed/>
    <w:qFormat/>
    <w:rsid w:val="00A25512"/>
    <w:pPr>
      <w:tabs>
        <w:tab w:val="center" w:pos="4153"/>
        <w:tab w:val="right" w:pos="8306"/>
      </w:tabs>
      <w:snapToGrid w:val="0"/>
      <w:jc w:val="left"/>
    </w:pPr>
    <w:rPr>
      <w:sz w:val="18"/>
      <w:szCs w:val="18"/>
    </w:rPr>
  </w:style>
  <w:style w:type="paragraph" w:styleId="a7">
    <w:name w:val="header"/>
    <w:basedOn w:val="a"/>
    <w:link w:val="a8"/>
    <w:uiPriority w:val="99"/>
    <w:unhideWhenUsed/>
    <w:qFormat/>
    <w:rsid w:val="00A25512"/>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A25512"/>
    <w:pPr>
      <w:spacing w:before="100" w:beforeAutospacing="1" w:after="100" w:afterAutospacing="1"/>
      <w:jc w:val="left"/>
    </w:pPr>
    <w:rPr>
      <w:kern w:val="0"/>
      <w:sz w:val="24"/>
    </w:rPr>
  </w:style>
  <w:style w:type="character" w:customStyle="1" w:styleId="UserStyle0">
    <w:name w:val="UserStyle_0"/>
    <w:semiHidden/>
    <w:qFormat/>
    <w:rsid w:val="00A25512"/>
  </w:style>
  <w:style w:type="character" w:customStyle="1" w:styleId="a8">
    <w:name w:val="页眉 字符"/>
    <w:basedOn w:val="a0"/>
    <w:link w:val="a7"/>
    <w:uiPriority w:val="99"/>
    <w:qFormat/>
    <w:rsid w:val="00A25512"/>
    <w:rPr>
      <w:kern w:val="2"/>
      <w:sz w:val="18"/>
      <w:szCs w:val="18"/>
    </w:rPr>
  </w:style>
  <w:style w:type="character" w:customStyle="1" w:styleId="a6">
    <w:name w:val="页脚 字符"/>
    <w:basedOn w:val="a0"/>
    <w:link w:val="a5"/>
    <w:uiPriority w:val="99"/>
    <w:qFormat/>
    <w:rsid w:val="00A25512"/>
    <w:rPr>
      <w:kern w:val="2"/>
      <w:sz w:val="18"/>
      <w:szCs w:val="18"/>
    </w:rPr>
  </w:style>
  <w:style w:type="character" w:customStyle="1" w:styleId="a4">
    <w:name w:val="日期 字符"/>
    <w:basedOn w:val="a0"/>
    <w:link w:val="a3"/>
    <w:uiPriority w:val="99"/>
    <w:semiHidden/>
    <w:qFormat/>
    <w:rsid w:val="00A2551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164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4</Pages>
  <Words>254</Words>
  <Characters>1452</Characters>
  <Application>Microsoft Office Word</Application>
  <DocSecurity>0</DocSecurity>
  <Lines>12</Lines>
  <Paragraphs>3</Paragraphs>
  <ScaleCrop>false</ScaleCrop>
  <Company>Microsoft</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zrh</dc:creator>
  <cp:lastModifiedBy>NTKO</cp:lastModifiedBy>
  <cp:revision>134</cp:revision>
  <cp:lastPrinted>2021-05-25T10:35:00Z</cp:lastPrinted>
  <dcterms:created xsi:type="dcterms:W3CDTF">2019-06-05T14:57:00Z</dcterms:created>
  <dcterms:modified xsi:type="dcterms:W3CDTF">2021-06-30T03:30:00Z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2052-10.1.0.7589</vt:lpwstr>
  </property>
</Properties>
</file>