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r>
        <w:rPr>
          <w:rFonts w:ascii="Times New Roman"/>
        </w:rPr>
        <w:t>ICS</w:t>
      </w:r>
      <w:r>
        <w:rPr>
          <w:rFonts w:hAnsi="黑体"/>
        </w:rPr>
        <w:t> </w:t>
      </w:r>
      <w:bookmarkStart w:id="0" w:name="ICS"/>
      <w:r>
        <w:t>71.100.20</w:t>
      </w:r>
      <w:bookmarkEnd w:id="0"/>
    </w:p>
    <w:p>
      <w:pPr>
        <w:pStyle w:val="125"/>
        <w:framePr/>
      </w:pPr>
      <w:bookmarkStart w:id="1" w:name="WXFLH"/>
      <w:r>
        <w:t>G 93</w:t>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5"/>
              <w:framePr/>
            </w:pPr>
            <w:bookmarkStart w:id="2" w:name="BAH"/>
            <w:r>
              <w:rPr>
                <w:rFonts w:hint="eastAsia"/>
              </w:rPr>
              <w:t>备案号：</w:t>
            </w:r>
            <w:bookmarkEnd w:id="2"/>
          </w:p>
        </w:tc>
      </w:tr>
    </w:tbl>
    <w:p>
      <w:pPr>
        <w:pStyle w:val="111"/>
        <w:framePr/>
        <w:widowControl w:val="0"/>
      </w:pPr>
      <w:bookmarkStart w:id="3" w:name="c1"/>
      <w:r>
        <w:t>AQ</w:t>
      </w:r>
      <w:bookmarkEnd w:id="3"/>
    </w:p>
    <w:p>
      <w:pPr>
        <w:pStyle w:val="112"/>
        <w:framePr/>
        <w:widowControl w:val="0"/>
      </w:pPr>
      <w:r>
        <w:rPr>
          <w:rFonts w:hint="eastAsia"/>
        </w:rPr>
        <w:t>中华人民共和国</w:t>
      </w:r>
      <w:bookmarkStart w:id="4" w:name="c2"/>
      <w:r>
        <w:rPr>
          <w:rFonts w:hint="eastAsia"/>
        </w:rPr>
        <w:t>安全生产</w:t>
      </w:r>
      <w:bookmarkEnd w:id="4"/>
      <w:r>
        <w:t>行业标准</w:t>
      </w:r>
    </w:p>
    <w:p>
      <w:pPr>
        <w:pStyle w:val="49"/>
        <w:framePr/>
        <w:widowControl w:val="0"/>
        <w:rPr>
          <w:rFonts w:hAnsi="黑体"/>
        </w:rPr>
      </w:pPr>
      <w:bookmarkStart w:id="5" w:name="StdNo0"/>
      <w:r>
        <w:rPr>
          <w:rFonts w:ascii="Times New Roman"/>
        </w:rPr>
        <w:t>AQ/T</w:t>
      </w:r>
      <w:bookmarkEnd w:id="5"/>
      <w:r>
        <w:rPr>
          <w:rFonts w:ascii="Times New Roman"/>
        </w:rPr>
        <w:t xml:space="preserve"> </w:t>
      </w:r>
      <w:r>
        <w:rPr>
          <w:rFonts w:hAnsi="黑体"/>
        </w:rPr>
        <w:t>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8"/>
              <w:framePr/>
              <w:widowControl w:val="0"/>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We5P/TAAAACAEA&#10;AA8AAAAAAAAAAQAgAAAAIgAAAGRycy9kb3ducmV2LnhtbFBLAQIUABQAAAAIAIdO4kCpIlCfWAIA&#10;AMcEAAAOAAAAAAAAAAEAIAAAACIBAABkcnMvZTJvRG9jLnhtbFBLBQYAAAAABgAGAFkBAADsBQAA&#10;AAA=&#10;">
                      <v:fill on="t" focussize="0,0"/>
                      <v:stroke on="f" weight="2pt"/>
                      <v:imagedata o:title=""/>
                      <o:lock v:ext="edit" aspectratio="f"/>
                      <v:textbox>
                        <w:txbxContent>
                          <w:p>
                            <w:pPr>
                              <w:jc w:val="center"/>
                            </w:pPr>
                          </w:p>
                        </w:txbxContent>
                      </v:textbox>
                    </v:rect>
                  </w:pict>
                </mc:Fallback>
              </mc:AlternateContent>
            </w:r>
            <w:bookmarkStart w:id="6" w:name="DT"/>
            <w:r>
              <w:t xml:space="preserve">     </w:t>
            </w:r>
            <w:bookmarkEnd w:id="6"/>
          </w:p>
        </w:tc>
      </w:tr>
    </w:tbl>
    <w:p>
      <w:pPr>
        <w:pStyle w:val="49"/>
        <w:framePr/>
        <w:widowControl w:val="0"/>
        <w:rPr>
          <w:rFonts w:hAnsi="黑体"/>
        </w:rPr>
      </w:pPr>
    </w:p>
    <w:p>
      <w:pPr>
        <w:pStyle w:val="49"/>
        <w:framePr/>
        <w:widowControl w:val="0"/>
        <w:rPr>
          <w:rFonts w:hAnsi="黑体"/>
        </w:rPr>
      </w:pPr>
    </w:p>
    <w:p>
      <w:pPr>
        <w:pStyle w:val="80"/>
        <w:framePr/>
      </w:pPr>
      <w:bookmarkStart w:id="7" w:name="StdName"/>
      <w:r>
        <w:rPr>
          <w:rFonts w:hint="eastAsia"/>
        </w:rPr>
        <w:t>深冷空分装置安全技术规范</w:t>
      </w:r>
      <w:bookmarkEnd w:id="7"/>
    </w:p>
    <w:p>
      <w:pPr>
        <w:pStyle w:val="81"/>
        <w:framePr/>
      </w:pPr>
      <w:bookmarkStart w:id="8" w:name="StdEnglishName"/>
      <w:r>
        <w:t>S</w:t>
      </w:r>
      <w:r>
        <w:rPr>
          <w:rFonts w:hint="eastAsia"/>
        </w:rPr>
        <w:t>a</w:t>
      </w:r>
      <w:r>
        <w:t xml:space="preserve">fety technical regulations for </w:t>
      </w:r>
      <w:r>
        <w:rPr>
          <w:rFonts w:hint="eastAsia"/>
        </w:rPr>
        <w:t>cry</w:t>
      </w:r>
      <w:r>
        <w:t>ogenic air separation unit</w:t>
      </w:r>
      <w:bookmarkEnd w:id="8"/>
    </w:p>
    <w:p>
      <w:pPr>
        <w:pStyle w:val="82"/>
        <w:frame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9629" w:type="dxa"/>
            <w:tcBorders>
              <w:top w:val="nil"/>
              <w:left w:val="nil"/>
              <w:bottom w:val="nil"/>
              <w:right w:val="nil"/>
            </w:tcBorders>
            <w:shd w:val="clear" w:color="auto" w:fill="auto"/>
          </w:tcPr>
          <w:p>
            <w:pPr>
              <w:pStyle w:val="83"/>
              <w:framePr/>
            </w:pPr>
            <w:r>
              <w:rPr>
                <w:rFonts w:hint="eastAsia"/>
              </w:rPr>
              <w:t>（征求意见稿）</w:t>
            </w: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iiOF3TAAAACgEAAA8A&#10;AAAAAAAAAQAgAAAAIgAAAGRycy9kb3ducmV2LnhtbFBLAQIUABQAAAAIAIdO4kC90npGVQIAAMcE&#10;AAAOAAAAAAAAAAEAIAAAACIBAABkcnMvZTJvRG9jLnhtbFBLBQYAAAAABgAGAFkBAADpBQAAAAA=&#10;">
                      <v:fill on="t" focussize="0,0"/>
                      <v:stroke on="f" weight="2pt"/>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NIEcv1AAAAAkB&#10;AAAPAAAAAAAAAAEAIAAAACIAAABkcnMvZG93bnJldi54bWxQSwECFAAUAAAACACHTuJA7GlKnlgC&#10;AADHBAAADgAAAAAAAAABACAAAAAjAQAAZHJzL2Uyb0RvYy54bWxQSwUGAAAAAAYABgBZAQAA7QUA&#10;AAAA&#10;">
                      <v:fill on="t" focussize="0,0"/>
                      <v:stroke on="f" weight="2pt"/>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4"/>
              <w:framePr/>
            </w:pPr>
            <w:bookmarkStart w:id="9" w:name="WCRQ"/>
            <w:r>
              <w:t xml:space="preserve">     </w:t>
            </w:r>
            <w:bookmarkEnd w:id="9"/>
          </w:p>
        </w:tc>
      </w:tr>
    </w:tbl>
    <w:p>
      <w:pPr>
        <w:pStyle w:val="132"/>
        <w:framePr/>
        <w:widowControl w:val="0"/>
      </w:pPr>
      <w:r>
        <w:rPr>
          <w:rFonts w:ascii="黑体" w:hAnsi="黑体"/>
        </w:rPr>
        <w:t>XXXX - XX - XX</w:t>
      </w:r>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33"/>
        <w:framePr/>
        <w:widowControl w:val="0"/>
      </w:pPr>
      <w:r>
        <w:rPr>
          <w:rFonts w:ascii="黑体"/>
        </w:rPr>
        <w:t>XXXX - XX - XX</w:t>
      </w:r>
      <w:r>
        <w:rPr>
          <w:rFonts w:hint="eastAsia"/>
        </w:rPr>
        <w:t>实施</w:t>
      </w:r>
    </w:p>
    <w:p>
      <w:pPr>
        <w:pStyle w:val="113"/>
        <w:framePr/>
        <w:widowControl w:val="0"/>
      </w:pPr>
      <w:bookmarkStart w:id="10" w:name="fm"/>
      <w:r>
        <w:rPr>
          <w:rFonts w:hint="eastAsia"/>
        </w:rPr>
        <w:t>中华人民共和国应急管理部</w:t>
      </w:r>
      <w:bookmarkEnd w:id="10"/>
      <w:r>
        <w:t xml:space="preserve"> </w:t>
      </w:r>
      <w:r>
        <w:rPr>
          <w:rStyle w:val="75"/>
        </w:rPr>
        <w:t xml:space="preserve"> </w:t>
      </w:r>
      <w:r>
        <w:rPr>
          <w:rStyle w:val="75"/>
          <w:rFonts w:hint="eastAsia"/>
        </w:rPr>
        <w:t>发布</w:t>
      </w:r>
    </w:p>
    <w:p>
      <w:pPr>
        <w:pStyle w:val="24"/>
        <w:widowControl w:val="0"/>
        <w:sectPr>
          <w:headerReference r:id="rId3" w:type="even"/>
          <w:footerReference r:id="rId4" w:type="even"/>
          <w:pgSz w:w="11906" w:h="16838"/>
          <w:pgMar w:top="567" w:right="1134" w:bottom="1134" w:left="1417" w:header="0" w:footer="0" w:gutter="0"/>
          <w:pgNumType w:start="1"/>
          <w:cols w:space="425" w:num="1"/>
          <w:docGrid w:type="lines" w:linePitch="312" w:charSpace="0"/>
        </w:sectPr>
      </w:pPr>
      <w:bookmarkStart w:id="241" w:name="_GoBack"/>
      <w:bookmarkEnd w:id="241"/>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m2xzV&#10;AAAACQEAAA8AAAAAAAAAAQAgAAAAIgAAAGRycy9kb3ducmV2LnhtbFBLAQIUABQAAAAIAIdO4kAs&#10;2cSyXAIAAMcEAAAOAAAAAAAAAAEAIAAAACQBAABkcnMvZTJvRG9jLnhtbFBLBQYAAAAABgAGAFkB&#10;AADyBQAAAAA=&#10;">
                <v:fill on="t" focussize="0,0"/>
                <v:stroke on="f" weight="2pt"/>
                <v:imagedata o:title=""/>
                <o:lock v:ext="edit" aspectratio="f"/>
                <v:textbox>
                  <w:txbxContent>
                    <w:p>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pPr>
        <w:pStyle w:val="52"/>
      </w:pPr>
      <w:bookmarkStart w:id="11" w:name="_Toc43218313"/>
      <w:bookmarkStart w:id="12" w:name="_Toc54355451"/>
      <w:bookmarkStart w:id="13" w:name="_Toc44335659"/>
      <w:bookmarkStart w:id="14" w:name="_Toc46239377"/>
      <w:bookmarkStart w:id="15" w:name="_Toc54446516"/>
      <w:bookmarkStart w:id="16" w:name="_Toc45627586"/>
      <w:bookmarkStart w:id="17" w:name="_Toc51244016"/>
      <w:bookmarkStart w:id="18" w:name="_Toc43218159"/>
      <w:bookmarkStart w:id="19" w:name="_Toc44336240"/>
      <w:bookmarkStart w:id="20" w:name="_Toc43218585"/>
      <w:bookmarkStart w:id="21" w:name="_Toc44335562"/>
      <w:bookmarkStart w:id="22" w:name="_Toc54434950"/>
      <w:r>
        <w:rPr>
          <w:rFonts w:hint="eastAsia"/>
        </w:rPr>
        <w:t>目</w:t>
      </w:r>
      <w:bookmarkStart w:id="23" w:name="BKML"/>
      <w:r>
        <w:rPr>
          <w:rFonts w:hAnsi="黑体"/>
        </w:rPr>
        <w:t>  </w:t>
      </w:r>
      <w:r>
        <w:rPr>
          <w:rFonts w:hint="eastAsia"/>
        </w:rPr>
        <w:t>次</w:t>
      </w:r>
      <w:bookmarkEnd w:id="23"/>
    </w:p>
    <w:p>
      <w:pPr>
        <w:pStyle w:val="20"/>
        <w:spacing w:before="78" w:after="78"/>
        <w:rPr>
          <w:rFonts w:asciiTheme="minorHAnsi" w:hAnsiTheme="minorHAnsi" w:eastAsiaTheme="minorEastAsia" w:cstheme="minorBidi"/>
          <w:szCs w:val="22"/>
        </w:rPr>
      </w:pPr>
      <w:r>
        <w:fldChar w:fldCharType="begin" w:fldLock="1"/>
      </w:r>
      <w:r>
        <w:instrText xml:space="preserve"> TOC \h \z \t"前言、引言标题,1,参考文献、索引标题,1,章标题,1,参考文献,1,附录标识,1" \* MERGEFORMAT </w:instrText>
      </w:r>
      <w:r>
        <w:fldChar w:fldCharType="separate"/>
      </w:r>
      <w:r>
        <w:fldChar w:fldCharType="begin"/>
      </w:r>
      <w:r>
        <w:instrText xml:space="preserve"> HYPERLINK \l "_Toc54447469" </w:instrText>
      </w:r>
      <w:r>
        <w:fldChar w:fldCharType="separate"/>
      </w:r>
      <w:r>
        <w:rPr>
          <w:rStyle w:val="40"/>
        </w:rPr>
        <w:t>前言</w:t>
      </w:r>
      <w:r>
        <w:tab/>
      </w:r>
      <w:r>
        <w:fldChar w:fldCharType="begin" w:fldLock="1"/>
      </w:r>
      <w:r>
        <w:instrText xml:space="preserve"> PAGEREF _Toc54447469 \h </w:instrText>
      </w:r>
      <w:r>
        <w:fldChar w:fldCharType="separate"/>
      </w:r>
      <w:r>
        <w:t>II</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"_Toc54447470" </w:instrText>
      </w:r>
      <w:r>
        <w:fldChar w:fldCharType="separate"/>
      </w:r>
      <w:r>
        <w:rPr>
          <w:rStyle w:val="40"/>
        </w:rPr>
        <w:t>1　范围</w:t>
      </w:r>
      <w:r>
        <w:tab/>
      </w:r>
      <w:r>
        <w:fldChar w:fldCharType="begin" w:fldLock="1"/>
      </w:r>
      <w:r>
        <w:instrText xml:space="preserve"> PAGEREF _Toc54447470 \h </w:instrText>
      </w:r>
      <w:r>
        <w:fldChar w:fldCharType="separate"/>
      </w:r>
      <w:r>
        <w:t>1</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"_Toc54447471" </w:instrText>
      </w:r>
      <w:r>
        <w:fldChar w:fldCharType="separate"/>
      </w:r>
      <w:r>
        <w:rPr>
          <w:rStyle w:val="40"/>
        </w:rPr>
        <w:t>2　规范性引用文件</w:t>
      </w:r>
      <w:r>
        <w:tab/>
      </w:r>
      <w:r>
        <w:fldChar w:fldCharType="begin" w:fldLock="1"/>
      </w:r>
      <w:r>
        <w:instrText xml:space="preserve"> PAGEREF _Toc54447471 \h </w:instrText>
      </w:r>
      <w:r>
        <w:fldChar w:fldCharType="separate"/>
      </w:r>
      <w:r>
        <w:t>1</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"_Toc54447472" </w:instrText>
      </w:r>
      <w:r>
        <w:fldChar w:fldCharType="separate"/>
      </w:r>
      <w:r>
        <w:rPr>
          <w:rStyle w:val="40"/>
        </w:rPr>
        <w:t>3　术语和定义</w:t>
      </w:r>
      <w:r>
        <w:tab/>
      </w:r>
      <w:r>
        <w:fldChar w:fldCharType="begin" w:fldLock="1"/>
      </w:r>
      <w:r>
        <w:instrText xml:space="preserve"> PAGEREF _Toc54447472 \h </w:instrText>
      </w:r>
      <w:r>
        <w:fldChar w:fldCharType="separate"/>
      </w:r>
      <w:r>
        <w:t>2</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"_Toc54447473" </w:instrText>
      </w:r>
      <w:r>
        <w:fldChar w:fldCharType="separate"/>
      </w:r>
      <w:r>
        <w:rPr>
          <w:rStyle w:val="40"/>
        </w:rPr>
        <w:t>4　装置布局与工程总体</w:t>
      </w:r>
      <w:r>
        <w:tab/>
      </w:r>
      <w:r>
        <w:fldChar w:fldCharType="begin" w:fldLock="1"/>
      </w:r>
      <w:r>
        <w:instrText xml:space="preserve"> PAGEREF _Toc54447473 \h </w:instrText>
      </w:r>
      <w:r>
        <w:fldChar w:fldCharType="separate"/>
      </w:r>
      <w:r>
        <w:t>3</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"_Toc54447474" </w:instrText>
      </w:r>
      <w:r>
        <w:fldChar w:fldCharType="separate"/>
      </w:r>
      <w:r>
        <w:rPr>
          <w:rStyle w:val="40"/>
        </w:rPr>
        <w:t>5　吸入空气污染物与清除净化</w:t>
      </w:r>
      <w:r>
        <w:tab/>
      </w:r>
      <w:r>
        <w:fldChar w:fldCharType="begin" w:fldLock="1"/>
      </w:r>
      <w:r>
        <w:instrText xml:space="preserve"> PAGEREF _Toc54447474 \h </w:instrText>
      </w:r>
      <w:r>
        <w:fldChar w:fldCharType="separate"/>
      </w:r>
      <w:r>
        <w:t>6</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"_Toc54447475" </w:instrText>
      </w:r>
      <w:r>
        <w:fldChar w:fldCharType="separate"/>
      </w:r>
      <w:r>
        <w:rPr>
          <w:rStyle w:val="40"/>
        </w:rPr>
        <w:t>6　压缩机</w:t>
      </w:r>
      <w:r>
        <w:tab/>
      </w:r>
      <w:r>
        <w:fldChar w:fldCharType="begin" w:fldLock="1"/>
      </w:r>
      <w:r>
        <w:instrText xml:space="preserve"> PAGEREF _Toc54447475 \h </w:instrText>
      </w:r>
      <w:r>
        <w:fldChar w:fldCharType="separate"/>
      </w:r>
      <w:r>
        <w:t>8</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"_Toc54447476" </w:instrText>
      </w:r>
      <w:r>
        <w:fldChar w:fldCharType="separate"/>
      </w:r>
      <w:r>
        <w:rPr>
          <w:rStyle w:val="40"/>
        </w:rPr>
        <w:t>7　膨胀机</w:t>
      </w:r>
      <w:r>
        <w:tab/>
      </w:r>
      <w:r>
        <w:fldChar w:fldCharType="begin" w:fldLock="1"/>
      </w:r>
      <w:r>
        <w:instrText xml:space="preserve"> PAGEREF _Toc54447476 \h </w:instrText>
      </w:r>
      <w:r>
        <w:fldChar w:fldCharType="separate"/>
      </w:r>
      <w:r>
        <w:t>10</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"_Toc54447477" </w:instrText>
      </w:r>
      <w:r>
        <w:fldChar w:fldCharType="separate"/>
      </w:r>
      <w:r>
        <w:rPr>
          <w:rStyle w:val="40"/>
        </w:rPr>
        <w:t>8　低温泵</w:t>
      </w:r>
      <w:r>
        <w:tab/>
      </w:r>
      <w:r>
        <w:fldChar w:fldCharType="begin" w:fldLock="1"/>
      </w:r>
      <w:r>
        <w:instrText xml:space="preserve"> PAGEREF _Toc54447477 \h </w:instrText>
      </w:r>
      <w:r>
        <w:fldChar w:fldCharType="separate"/>
      </w:r>
      <w:r>
        <w:t>12</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"_Toc54447478" </w:instrText>
      </w:r>
      <w:r>
        <w:fldChar w:fldCharType="separate"/>
      </w:r>
      <w:r>
        <w:rPr>
          <w:rStyle w:val="40"/>
        </w:rPr>
        <w:t>9　空分冷箱和精馏系统</w:t>
      </w:r>
      <w:r>
        <w:tab/>
      </w:r>
      <w:r>
        <w:fldChar w:fldCharType="begin" w:fldLock="1"/>
      </w:r>
      <w:r>
        <w:instrText xml:space="preserve"> PAGEREF _Toc54447478 \h </w:instrText>
      </w:r>
      <w:r>
        <w:fldChar w:fldCharType="separate"/>
      </w:r>
      <w:r>
        <w:t>14</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"_Toc54447479" </w:instrText>
      </w:r>
      <w:r>
        <w:fldChar w:fldCharType="separate"/>
      </w:r>
      <w:r>
        <w:rPr>
          <w:rStyle w:val="40"/>
        </w:rPr>
        <w:t>10　产品储存及输送</w:t>
      </w:r>
      <w:r>
        <w:tab/>
      </w:r>
      <w:r>
        <w:fldChar w:fldCharType="begin" w:fldLock="1"/>
      </w:r>
      <w:r>
        <w:instrText xml:space="preserve"> PAGEREF _Toc54447479 \h </w:instrText>
      </w:r>
      <w:r>
        <w:fldChar w:fldCharType="separate"/>
      </w:r>
      <w:r>
        <w:t>18</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"_Toc54447480" </w:instrText>
      </w:r>
      <w:r>
        <w:fldChar w:fldCharType="separate"/>
      </w:r>
      <w:r>
        <w:rPr>
          <w:rStyle w:val="40"/>
        </w:rPr>
        <w:t>11　稀有气体装置</w:t>
      </w:r>
      <w:r>
        <w:tab/>
      </w:r>
      <w:r>
        <w:fldChar w:fldCharType="begin" w:fldLock="1"/>
      </w:r>
      <w:r>
        <w:instrText xml:space="preserve"> PAGEREF _Toc54447480 \h </w:instrText>
      </w:r>
      <w:r>
        <w:fldChar w:fldCharType="separate"/>
      </w:r>
      <w:r>
        <w:t>22</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"_Toc54447481" </w:instrText>
      </w:r>
      <w:r>
        <w:fldChar w:fldCharType="separate"/>
      </w:r>
      <w:r>
        <w:rPr>
          <w:rStyle w:val="40"/>
        </w:rPr>
        <w:t>12　控制系统</w:t>
      </w:r>
      <w:r>
        <w:tab/>
      </w:r>
      <w:r>
        <w:fldChar w:fldCharType="begin" w:fldLock="1"/>
      </w:r>
      <w:r>
        <w:instrText xml:space="preserve"> PAGEREF _Toc54447481 \h </w:instrText>
      </w:r>
      <w:r>
        <w:fldChar w:fldCharType="separate"/>
      </w:r>
      <w:r>
        <w:t>23</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"_Toc54447482" </w:instrText>
      </w:r>
      <w:r>
        <w:fldChar w:fldCharType="separate"/>
      </w:r>
      <w:r>
        <w:rPr>
          <w:rStyle w:val="40"/>
        </w:rPr>
        <w:t>13　安全操作运行</w:t>
      </w:r>
      <w:r>
        <w:tab/>
      </w:r>
      <w:r>
        <w:fldChar w:fldCharType="begin" w:fldLock="1"/>
      </w:r>
      <w:r>
        <w:instrText xml:space="preserve"> PAGEREF _Toc54447482 \h </w:instrText>
      </w:r>
      <w:r>
        <w:fldChar w:fldCharType="separate"/>
      </w:r>
      <w:r>
        <w:t>29</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"_Toc54447483" </w:instrText>
      </w:r>
      <w:r>
        <w:fldChar w:fldCharType="separate"/>
      </w:r>
      <w:r>
        <w:rPr>
          <w:rStyle w:val="40"/>
        </w:rPr>
        <w:t>14　培训与事故应急处置</w:t>
      </w:r>
      <w:r>
        <w:tab/>
      </w:r>
      <w:r>
        <w:fldChar w:fldCharType="begin" w:fldLock="1"/>
      </w:r>
      <w:r>
        <w:instrText xml:space="preserve"> PAGEREF _Toc54447483 \h </w:instrText>
      </w:r>
      <w:r>
        <w:fldChar w:fldCharType="separate"/>
      </w:r>
      <w:r>
        <w:t>34</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"_Toc54447484" </w:instrText>
      </w:r>
      <w:r>
        <w:fldChar w:fldCharType="separate"/>
      </w:r>
      <w:r>
        <w:rPr>
          <w:rStyle w:val="40"/>
        </w:rPr>
        <w:t>附录A（资料性附录）　稀有气体工艺流程</w:t>
      </w:r>
      <w:r>
        <w:tab/>
      </w:r>
      <w:r>
        <w:fldChar w:fldCharType="begin" w:fldLock="1"/>
      </w:r>
      <w:r>
        <w:instrText xml:space="preserve"> PAGEREF _Toc54447484 \h </w:instrText>
      </w:r>
      <w:r>
        <w:fldChar w:fldCharType="separate"/>
      </w:r>
      <w:r>
        <w:t>37</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"_Toc54447485" </w:instrText>
      </w:r>
      <w:r>
        <w:fldChar w:fldCharType="separate"/>
      </w:r>
      <w:r>
        <w:rPr>
          <w:rStyle w:val="40"/>
        </w:rPr>
        <w:t>附录B（资料性附录）　控制系统相关示意图</w:t>
      </w:r>
      <w:r>
        <w:tab/>
      </w:r>
      <w:r>
        <w:fldChar w:fldCharType="begin" w:fldLock="1"/>
      </w:r>
      <w:r>
        <w:instrText xml:space="preserve"> PAGEREF _Toc54447485 \h </w:instrText>
      </w:r>
      <w:r>
        <w:fldChar w:fldCharType="separate"/>
      </w:r>
      <w:r>
        <w:t>39</w:t>
      </w:r>
      <w:r>
        <w:fldChar w:fldCharType="end"/>
      </w:r>
      <w:r>
        <w:fldChar w:fldCharType="end"/>
      </w:r>
    </w:p>
    <w:p>
      <w:pPr>
        <w:pStyle w:val="24"/>
      </w:pPr>
      <w:r>
        <w:fldChar w:fldCharType="end"/>
      </w:r>
    </w:p>
    <w:p>
      <w:pPr>
        <w:pStyle w:val="114"/>
        <w:widowControl w:val="0"/>
      </w:pPr>
      <w:bookmarkStart w:id="24" w:name="_Toc54447469"/>
      <w:r>
        <w:rPr>
          <w:rFonts w:hint="eastAsia"/>
        </w:rPr>
        <w:t>前</w:t>
      </w:r>
      <w:bookmarkStart w:id="25" w:name="BKQY"/>
      <w:r>
        <w:rPr>
          <w:rFonts w:hAnsi="黑体"/>
        </w:rPr>
        <w:t>  </w:t>
      </w:r>
      <w:r>
        <w:rPr>
          <w:rFonts w:hint="eastAsia"/>
        </w:rPr>
        <w:t>言</w:t>
      </w:r>
      <w:bookmarkEnd w:id="11"/>
      <w:bookmarkEnd w:id="12"/>
      <w:bookmarkEnd w:id="13"/>
      <w:bookmarkEnd w:id="14"/>
      <w:bookmarkEnd w:id="15"/>
      <w:bookmarkEnd w:id="16"/>
      <w:bookmarkEnd w:id="17"/>
      <w:bookmarkEnd w:id="18"/>
      <w:bookmarkEnd w:id="19"/>
      <w:bookmarkEnd w:id="20"/>
      <w:bookmarkEnd w:id="21"/>
      <w:bookmarkEnd w:id="22"/>
      <w:bookmarkEnd w:id="24"/>
      <w:bookmarkEnd w:id="25"/>
    </w:p>
    <w:p>
      <w:pPr>
        <w:pStyle w:val="24"/>
      </w:pPr>
      <w:r>
        <w:rPr>
          <w:rFonts w:hint="eastAsia"/>
        </w:rPr>
        <w:t>本文件按照GB/T 1.1-2020《标准化工作导则 第1部分：标准化文件的结构和起草规则》的规定起草。</w:t>
      </w:r>
    </w:p>
    <w:p>
      <w:pPr>
        <w:pStyle w:val="24"/>
      </w:pPr>
      <w:r>
        <w:rPr>
          <w:rFonts w:hint="eastAsia"/>
        </w:rPr>
        <w:t>请注意本文件的某些内容可能涉及专利。本标准的发布机构不承担识别专利的责任。</w:t>
      </w:r>
    </w:p>
    <w:p>
      <w:pPr>
        <w:pStyle w:val="24"/>
      </w:pPr>
      <w:r>
        <w:rPr>
          <w:rFonts w:hint="eastAsia"/>
        </w:rPr>
        <w:t>本文件由中华人民共和国应急管理部提出。</w:t>
      </w:r>
    </w:p>
    <w:p>
      <w:pPr>
        <w:pStyle w:val="24"/>
      </w:pPr>
      <w:r>
        <w:rPr>
          <w:rFonts w:hint="eastAsia"/>
        </w:rPr>
        <w:t>本文件由全国安全生产标准化技术委员会化学品安全分技术委员会（S</w:t>
      </w:r>
      <w:r>
        <w:t>AC/TC288/SC3</w:t>
      </w:r>
      <w:r>
        <w:rPr>
          <w:rFonts w:hint="eastAsia"/>
        </w:rPr>
        <w:t>）归口。</w:t>
      </w:r>
    </w:p>
    <w:p>
      <w:pPr>
        <w:pStyle w:val="24"/>
      </w:pPr>
      <w:r>
        <w:rPr>
          <w:rFonts w:hint="eastAsia"/>
        </w:rPr>
        <w:t>本文件起草单位：</w:t>
      </w:r>
    </w:p>
    <w:p>
      <w:pPr>
        <w:pStyle w:val="24"/>
      </w:pPr>
      <w:r>
        <w:rPr>
          <w:rFonts w:hint="eastAsia"/>
        </w:rPr>
        <w:t>本文件主要起草人：</w:t>
      </w:r>
    </w:p>
    <w:p>
      <w:pPr>
        <w:pStyle w:val="24"/>
        <w:widowControl w:val="0"/>
      </w:pPr>
      <w:r>
        <w:rPr>
          <w:rFonts w:hint="eastAsia"/>
        </w:rPr>
        <w:t xml:space="preserve">本文件为首次发布。  </w:t>
      </w:r>
    </w:p>
    <w:p>
      <w:pPr>
        <w:pStyle w:val="24"/>
        <w:widowControl w:val="0"/>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52"/>
        <w:widowControl w:val="0"/>
      </w:pPr>
      <w:sdt>
        <w:sdtPr>
          <w:alias w:val="标准名称"/>
          <w:tag w:val="标准名称"/>
          <w:id w:val="1795105741"/>
          <w:lock w:val="sdtLocked"/>
          <w:placeholder>
            <w:docPart w:val="111"/>
          </w:placeholder>
          <w:text w:multiLine="1"/>
        </w:sdtPr>
        <w:sdtContent>
          <w:r>
            <w:rPr>
              <w:rFonts w:hint="eastAsia"/>
            </w:rPr>
            <w:t>深冷空分装置安全技术规范</w:t>
          </w:r>
        </w:sdtContent>
      </w:sdt>
      <w:bookmarkStart w:id="26" w:name="StandardName"/>
      <w:bookmarkEnd w:id="26"/>
    </w:p>
    <w:p>
      <w:pPr>
        <w:pStyle w:val="47"/>
        <w:widowControl w:val="0"/>
        <w:spacing w:before="312" w:after="312"/>
      </w:pPr>
      <w:bookmarkStart w:id="27" w:name="_Toc44335563"/>
      <w:bookmarkStart w:id="28" w:name="_Toc43218160"/>
      <w:bookmarkStart w:id="29" w:name="_Toc43218314"/>
      <w:bookmarkStart w:id="30" w:name="_Toc43218586"/>
      <w:bookmarkStart w:id="31" w:name="_Toc44335660"/>
      <w:bookmarkStart w:id="32" w:name="_Toc51244017"/>
      <w:bookmarkStart w:id="33" w:name="_Toc44336241"/>
      <w:bookmarkStart w:id="34" w:name="_Toc45627587"/>
      <w:bookmarkStart w:id="35" w:name="_Toc54434951"/>
      <w:bookmarkStart w:id="36" w:name="_Toc54446517"/>
      <w:bookmarkStart w:id="37" w:name="_Toc46239378"/>
      <w:bookmarkStart w:id="38" w:name="_Toc54447470"/>
      <w:bookmarkStart w:id="39" w:name="_Toc54355452"/>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pPr>
        <w:tabs>
          <w:tab w:val="center" w:pos="4201"/>
          <w:tab w:val="right" w:leader="dot" w:pos="9298"/>
        </w:tabs>
        <w:autoSpaceDE w:val="0"/>
        <w:autoSpaceDN w:val="0"/>
        <w:ind w:firstLine="404" w:firstLineChars="200"/>
        <w:rPr>
          <w:rFonts w:ascii="宋体"/>
          <w:spacing w:val="-4"/>
          <w:kern w:val="0"/>
          <w:szCs w:val="20"/>
        </w:rPr>
      </w:pPr>
      <w:r>
        <w:rPr>
          <w:rFonts w:hint="eastAsia" w:ascii="宋体"/>
          <w:spacing w:val="-4"/>
          <w:kern w:val="0"/>
          <w:szCs w:val="20"/>
        </w:rPr>
        <w:t>本标准规定了深冷空分装置的总体布局、吸入空气质量控制、压缩机、膨胀机、低温泵、空分冷箱和精馏系统、产品储运、稀有气体装置、控制系统、安全操作运行、人员管理与事故应急处置等内容的要求。</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本标准适用于以冶金、有色、化工、石化、煤化工、电子等领域采用深冷空分装置制取氧、氮、氩（包含：氦、氖、氪、氙稀有气体）等空气产品的企业。</w:t>
      </w:r>
    </w:p>
    <w:p>
      <w:pPr>
        <w:pStyle w:val="47"/>
        <w:widowControl w:val="0"/>
        <w:spacing w:before="312" w:after="312"/>
      </w:pPr>
      <w:bookmarkStart w:id="40" w:name="_Toc43215131"/>
      <w:bookmarkStart w:id="41" w:name="_Toc42589878"/>
      <w:bookmarkStart w:id="42" w:name="_Toc43218315"/>
      <w:bookmarkStart w:id="43" w:name="_Toc45627588"/>
      <w:bookmarkStart w:id="44" w:name="_Toc46239379"/>
      <w:bookmarkStart w:id="45" w:name="_Toc43218587"/>
      <w:bookmarkStart w:id="46" w:name="_Toc44335661"/>
      <w:bookmarkStart w:id="47" w:name="_Toc54434952"/>
      <w:bookmarkStart w:id="48" w:name="_Toc51244018"/>
      <w:bookmarkStart w:id="49" w:name="_Toc54355453"/>
      <w:bookmarkStart w:id="50" w:name="_Toc54447471"/>
      <w:bookmarkStart w:id="51" w:name="_Toc44336242"/>
      <w:bookmarkStart w:id="52" w:name="_Toc54446518"/>
      <w:bookmarkStart w:id="53" w:name="_Toc44335564"/>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下列文件对于本文件的应用是必不可少的。凡是注日期的引用文件，仅注日期的版本适用于本文件。凡是不注日期的引用文件，其最新版本（包括所有的修改单）适用于本文件。</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2894    安全标志及其使用导则</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3797   电气控制设备</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w:t>
      </w:r>
      <w:r>
        <w:rPr>
          <w:rFonts w:ascii="宋体"/>
          <w:kern w:val="0"/>
          <w:szCs w:val="20"/>
        </w:rPr>
        <w:t>T</w:t>
      </w:r>
      <w:r>
        <w:rPr>
          <w:rFonts w:hint="eastAsia" w:ascii="宋体"/>
          <w:kern w:val="0"/>
          <w:szCs w:val="20"/>
        </w:rPr>
        <w:t xml:space="preserve"> 7251.12   低压成套开关设备和控制设备 第2部分：成套电力开关和控制设备</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7777   容积式压缩机机械振动测量与评价</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12337  钢制球形储罐</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16912   深度冷冻法生产氧气及相关气体安全技术规程</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1</w:t>
      </w:r>
      <w:r>
        <w:rPr>
          <w:rFonts w:hint="eastAsia" w:ascii="宋体"/>
          <w:kern w:val="0"/>
          <w:szCs w:val="20"/>
        </w:rPr>
        <w:t xml:space="preserve"> 固定式真空绝热深冷压力容器 第</w:t>
      </w:r>
      <w:r>
        <w:rPr>
          <w:rFonts w:ascii="宋体"/>
          <w:kern w:val="0"/>
          <w:szCs w:val="20"/>
        </w:rPr>
        <w:t>1</w:t>
      </w:r>
      <w:r>
        <w:rPr>
          <w:rFonts w:hint="eastAsia" w:ascii="宋体"/>
          <w:kern w:val="0"/>
          <w:szCs w:val="20"/>
        </w:rPr>
        <w:t>部分：总则</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2</w:t>
      </w:r>
      <w:r>
        <w:rPr>
          <w:rFonts w:hint="eastAsia" w:ascii="宋体"/>
          <w:kern w:val="0"/>
          <w:szCs w:val="20"/>
        </w:rPr>
        <w:t xml:space="preserve"> 固定式真空绝热深冷压力容器 第</w:t>
      </w:r>
      <w:r>
        <w:rPr>
          <w:rFonts w:ascii="宋体"/>
          <w:kern w:val="0"/>
          <w:szCs w:val="20"/>
        </w:rPr>
        <w:t>2</w:t>
      </w:r>
      <w:r>
        <w:rPr>
          <w:rFonts w:hint="eastAsia" w:ascii="宋体"/>
          <w:kern w:val="0"/>
          <w:szCs w:val="20"/>
        </w:rPr>
        <w:t>部分：材料</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3</w:t>
      </w:r>
      <w:r>
        <w:rPr>
          <w:rFonts w:hint="eastAsia" w:ascii="宋体"/>
          <w:kern w:val="0"/>
          <w:szCs w:val="20"/>
        </w:rPr>
        <w:t xml:space="preserve"> 固定式真空绝热深冷压力容器 第</w:t>
      </w:r>
      <w:r>
        <w:rPr>
          <w:rFonts w:ascii="宋体"/>
          <w:kern w:val="0"/>
          <w:szCs w:val="20"/>
        </w:rPr>
        <w:t>3</w:t>
      </w:r>
      <w:r>
        <w:rPr>
          <w:rFonts w:hint="eastAsia" w:ascii="宋体"/>
          <w:kern w:val="0"/>
          <w:szCs w:val="20"/>
        </w:rPr>
        <w:t>部分：设计</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4</w:t>
      </w:r>
      <w:r>
        <w:rPr>
          <w:rFonts w:hint="eastAsia" w:ascii="宋体"/>
          <w:kern w:val="0"/>
          <w:szCs w:val="20"/>
        </w:rPr>
        <w:t xml:space="preserve"> 固定式真空绝热深冷压力容器 第</w:t>
      </w:r>
      <w:r>
        <w:rPr>
          <w:rFonts w:ascii="宋体"/>
          <w:kern w:val="0"/>
          <w:szCs w:val="20"/>
        </w:rPr>
        <w:t>4</w:t>
      </w:r>
      <w:r>
        <w:rPr>
          <w:rFonts w:hint="eastAsia" w:ascii="宋体"/>
          <w:kern w:val="0"/>
          <w:szCs w:val="20"/>
        </w:rPr>
        <w:t>部分：制造</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 xml:space="preserve">5 </w:t>
      </w:r>
      <w:r>
        <w:rPr>
          <w:rFonts w:hint="eastAsia" w:ascii="宋体"/>
          <w:kern w:val="0"/>
          <w:szCs w:val="20"/>
        </w:rPr>
        <w:t>固定式真空绝热深冷压力容器 第5部分：检验与试验</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6</w:t>
      </w:r>
      <w:r>
        <w:rPr>
          <w:rFonts w:hint="eastAsia" w:ascii="宋体"/>
          <w:kern w:val="0"/>
          <w:szCs w:val="20"/>
        </w:rPr>
        <w:t xml:space="preserve"> 固定式真空绝热深冷压力容器 第</w:t>
      </w:r>
      <w:r>
        <w:rPr>
          <w:rFonts w:ascii="宋体"/>
          <w:kern w:val="0"/>
          <w:szCs w:val="20"/>
        </w:rPr>
        <w:t>6</w:t>
      </w:r>
      <w:r>
        <w:rPr>
          <w:rFonts w:hint="eastAsia" w:ascii="宋体"/>
          <w:kern w:val="0"/>
          <w:szCs w:val="20"/>
        </w:rPr>
        <w:t>部分：安全防护</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18442.</w:t>
      </w:r>
      <w:r>
        <w:rPr>
          <w:rFonts w:ascii="宋体"/>
          <w:kern w:val="0"/>
          <w:szCs w:val="20"/>
        </w:rPr>
        <w:t>7</w:t>
      </w:r>
      <w:r>
        <w:rPr>
          <w:rFonts w:hint="eastAsia" w:ascii="宋体"/>
          <w:kern w:val="0"/>
          <w:szCs w:val="20"/>
        </w:rPr>
        <w:t xml:space="preserve"> 固定式真空绝热深冷压力容器 第</w:t>
      </w:r>
      <w:r>
        <w:rPr>
          <w:rFonts w:ascii="宋体"/>
          <w:kern w:val="0"/>
          <w:szCs w:val="20"/>
        </w:rPr>
        <w:t>7</w:t>
      </w:r>
      <w:r>
        <w:rPr>
          <w:rFonts w:hint="eastAsia" w:ascii="宋体"/>
          <w:kern w:val="0"/>
          <w:szCs w:val="20"/>
        </w:rPr>
        <w:t>部分：内容器应变强化技术规定</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w:t>
      </w:r>
      <w:r>
        <w:rPr>
          <w:rFonts w:ascii="宋体"/>
          <w:kern w:val="0"/>
          <w:szCs w:val="20"/>
        </w:rPr>
        <w:t xml:space="preserve">B/T 29639  </w:t>
      </w:r>
      <w:r>
        <w:rPr>
          <w:rFonts w:hint="eastAsia" w:ascii="宋体"/>
          <w:kern w:val="0"/>
          <w:szCs w:val="20"/>
        </w:rPr>
        <w:t>生产经营单位生产安全事故应急预案编制导则</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w:t>
      </w:r>
      <w:r>
        <w:rPr>
          <w:rFonts w:ascii="宋体"/>
          <w:kern w:val="0"/>
          <w:szCs w:val="20"/>
        </w:rPr>
        <w:t xml:space="preserve">B 30871   </w:t>
      </w:r>
      <w:r>
        <w:rPr>
          <w:rFonts w:hint="eastAsia" w:ascii="宋体"/>
          <w:kern w:val="0"/>
          <w:szCs w:val="20"/>
        </w:rPr>
        <w:t>化学品生产单位特殊作业安全规范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31481  深冷容器用材料与气体的相容性判定导则</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33942  特种设备事故应急预案编制导则</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36894    危险化学品生产装置和储存设施风险基准</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37243  危险化学品生产装置和储存设施外部安全防护距离确定方法</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50016   建筑设计防火规范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50030   氧气站设计规范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50050-2017 工业循环冷却水处理设计规范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50087   工业企业噪声控制设计规范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50140   建筑灭火器配置设计规范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50187   工业企业总平面设计规范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 50274   制冷设备、空气分离设备安装工程施工及验收规范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50493    石油化工可燃气体和有毒气体检测报警设计标准</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w:t>
      </w:r>
      <w:r>
        <w:rPr>
          <w:rFonts w:ascii="宋体"/>
          <w:kern w:val="0"/>
          <w:szCs w:val="20"/>
        </w:rPr>
        <w:t>T</w:t>
      </w:r>
      <w:r>
        <w:rPr>
          <w:rFonts w:hint="eastAsia" w:ascii="宋体"/>
          <w:kern w:val="0"/>
          <w:szCs w:val="20"/>
        </w:rPr>
        <w:t xml:space="preserve"> 50770   石油化工安全仪表系统设计规范</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A</w:t>
      </w:r>
      <w:r>
        <w:rPr>
          <w:rFonts w:ascii="宋体"/>
          <w:kern w:val="0"/>
          <w:szCs w:val="20"/>
        </w:rPr>
        <w:t xml:space="preserve">Q/T 9007  </w:t>
      </w:r>
      <w:r>
        <w:rPr>
          <w:rFonts w:hint="eastAsia" w:ascii="宋体"/>
          <w:kern w:val="0"/>
          <w:szCs w:val="20"/>
        </w:rPr>
        <w:t>安全生产事故应急演练指南</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JB 4732   钢制压力容器-分析设计标准</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JB/T 6443</w:t>
      </w:r>
      <w:r>
        <w:rPr>
          <w:rFonts w:ascii="宋体"/>
          <w:kern w:val="0"/>
          <w:szCs w:val="20"/>
        </w:rPr>
        <w:t>.3</w:t>
      </w:r>
      <w:r>
        <w:rPr>
          <w:rFonts w:hint="eastAsia" w:ascii="宋体"/>
          <w:kern w:val="0"/>
          <w:szCs w:val="20"/>
        </w:rPr>
        <w:t xml:space="preserve">   石油、化学和气体工业用轴流、离心压缩机及膨胀机-压缩机 第3部分：整体齿轮增速型压缩机</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JB/T 6896   空气分离设备表面清洁度</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J</w:t>
      </w:r>
      <w:r>
        <w:rPr>
          <w:rFonts w:ascii="宋体"/>
          <w:kern w:val="0"/>
          <w:szCs w:val="20"/>
        </w:rPr>
        <w:t xml:space="preserve">B/T 8693   </w:t>
      </w:r>
      <w:r>
        <w:rPr>
          <w:rFonts w:hint="eastAsia" w:ascii="宋体"/>
          <w:kern w:val="0"/>
          <w:szCs w:val="20"/>
        </w:rPr>
        <w:t>大中型空气分离设备</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JB/T 13369   粉末绝热低压低温液体贮槽</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NB/T 47041   塔式容器</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NB/T 47042   卧式容器</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SY/T 0608    大型焊接低压储罐的设计与建造</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T/CCGA 10004   珠光砂安全操作技术规程</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ISO 21010   低温容器  气体/材料兼容性（Cryogenic vessels-gas/material compatibility）</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TSG 21   固定式压力容器安全技术监察规程</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TSG R 7001   压力容器定期检验规则</w:t>
      </w:r>
    </w:p>
    <w:p>
      <w:pPr>
        <w:pStyle w:val="47"/>
        <w:widowControl w:val="0"/>
        <w:spacing w:before="312" w:after="312"/>
      </w:pPr>
      <w:bookmarkStart w:id="54" w:name="_Toc42589879"/>
      <w:bookmarkEnd w:id="54"/>
      <w:bookmarkStart w:id="55" w:name="_Toc46239380"/>
      <w:bookmarkStart w:id="56" w:name="_Toc44335662"/>
      <w:bookmarkStart w:id="57" w:name="_Toc44335565"/>
      <w:bookmarkStart w:id="58" w:name="_Toc51244019"/>
      <w:bookmarkStart w:id="59" w:name="_Toc54355454"/>
      <w:bookmarkStart w:id="60" w:name="_Toc54434953"/>
      <w:bookmarkStart w:id="61" w:name="_Toc54446519"/>
      <w:bookmarkStart w:id="62" w:name="_Toc54447472"/>
      <w:bookmarkStart w:id="63" w:name="_Toc43218588"/>
      <w:bookmarkStart w:id="64" w:name="_Toc43218316"/>
      <w:bookmarkStart w:id="65" w:name="_Toc43215132"/>
      <w:bookmarkStart w:id="66" w:name="_Toc44336243"/>
      <w:bookmarkStart w:id="67" w:name="_Toc45627589"/>
      <w:r>
        <w:rPr>
          <w:rFonts w:hint="eastAsia"/>
        </w:rPr>
        <w:t>术语和定义</w:t>
      </w:r>
      <w:bookmarkEnd w:id="55"/>
      <w:bookmarkEnd w:id="56"/>
      <w:bookmarkEnd w:id="57"/>
      <w:bookmarkEnd w:id="58"/>
      <w:bookmarkEnd w:id="59"/>
      <w:bookmarkEnd w:id="60"/>
      <w:bookmarkEnd w:id="61"/>
      <w:bookmarkEnd w:id="62"/>
      <w:bookmarkEnd w:id="63"/>
      <w:bookmarkEnd w:id="64"/>
      <w:bookmarkEnd w:id="65"/>
      <w:bookmarkEnd w:id="66"/>
      <w:bookmarkEnd w:id="67"/>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下列术语和定义适用于本文件。</w:t>
      </w:r>
    </w:p>
    <w:p>
      <w:pPr>
        <w:pStyle w:val="44"/>
        <w:widowControl w:val="0"/>
        <w:spacing w:before="156" w:after="156"/>
      </w:pPr>
    </w:p>
    <w:p>
      <w:pPr>
        <w:pStyle w:val="24"/>
        <w:widowControl w:val="0"/>
        <w:rPr>
          <w:rFonts w:ascii="黑体" w:eastAsia="黑体"/>
        </w:rPr>
      </w:pPr>
      <w:r>
        <w:rPr>
          <w:rFonts w:hint="eastAsia" w:ascii="黑体" w:eastAsia="黑体"/>
        </w:rPr>
        <w:t>深冷空分装置 cryogenic</w:t>
      </w:r>
      <w:r>
        <w:rPr>
          <w:rFonts w:ascii="黑体" w:eastAsia="黑体"/>
        </w:rPr>
        <w:t xml:space="preserve"> </w:t>
      </w:r>
      <w:r>
        <w:rPr>
          <w:rFonts w:hint="eastAsia" w:ascii="黑体" w:eastAsia="黑体"/>
        </w:rPr>
        <w:t>air</w:t>
      </w:r>
      <w:r>
        <w:rPr>
          <w:rFonts w:ascii="黑体" w:eastAsia="黑体"/>
        </w:rPr>
        <w:t xml:space="preserve"> separation unit</w:t>
      </w:r>
    </w:p>
    <w:p>
      <w:pPr>
        <w:pStyle w:val="24"/>
        <w:widowControl w:val="0"/>
      </w:pPr>
      <w:r>
        <w:rPr>
          <w:rFonts w:hint="eastAsia"/>
        </w:rPr>
        <w:t>包含原料空气吸入过滤器、压缩机、精馏冷塔、吸附器、换热器、膨胀机等设备，及电器、仪表控制、各类阀门管道于一体的空气分离设备的总称。</w:t>
      </w:r>
    </w:p>
    <w:p>
      <w:pPr>
        <w:pStyle w:val="44"/>
        <w:widowControl w:val="0"/>
        <w:spacing w:before="156" w:after="156"/>
      </w:pPr>
    </w:p>
    <w:p>
      <w:pPr>
        <w:tabs>
          <w:tab w:val="center" w:pos="4201"/>
          <w:tab w:val="right" w:leader="dot" w:pos="9298"/>
        </w:tabs>
        <w:autoSpaceDE w:val="0"/>
        <w:autoSpaceDN w:val="0"/>
        <w:ind w:firstLine="420" w:firstLineChars="200"/>
        <w:rPr>
          <w:rFonts w:ascii="黑体" w:eastAsia="黑体"/>
          <w:kern w:val="0"/>
          <w:szCs w:val="20"/>
        </w:rPr>
      </w:pPr>
      <w:r>
        <w:rPr>
          <w:rFonts w:hint="eastAsia" w:ascii="黑体" w:eastAsia="黑体"/>
          <w:kern w:val="0"/>
          <w:szCs w:val="20"/>
        </w:rPr>
        <w:t xml:space="preserve">主冷凝蒸发器 </w:t>
      </w:r>
      <w:r>
        <w:rPr>
          <w:rFonts w:ascii="黑体" w:eastAsia="黑体"/>
          <w:kern w:val="0"/>
          <w:szCs w:val="20"/>
        </w:rPr>
        <w:t>main condenser</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连接上、下精馏塔，用于氮气和液氧冷凝、蒸发的换热设备。型式有浸浴式、降膜式或混合式，上下可以是多个层级布置。</w:t>
      </w:r>
    </w:p>
    <w:p>
      <w:pPr>
        <w:pStyle w:val="44"/>
        <w:widowControl w:val="0"/>
        <w:spacing w:before="156" w:after="156"/>
      </w:pPr>
    </w:p>
    <w:p>
      <w:pPr>
        <w:pStyle w:val="24"/>
        <w:widowControl w:val="0"/>
        <w:rPr>
          <w:rFonts w:ascii="黑体" w:eastAsia="黑体"/>
        </w:rPr>
      </w:pPr>
      <w:r>
        <w:rPr>
          <w:rFonts w:hint="eastAsia" w:ascii="黑体" w:eastAsia="黑体"/>
        </w:rPr>
        <w:t xml:space="preserve">调压系统 </w:t>
      </w:r>
      <w:r>
        <w:rPr>
          <w:rFonts w:ascii="黑体" w:eastAsia="黑体"/>
        </w:rPr>
        <w:t>pressure</w:t>
      </w:r>
      <w:r>
        <w:rPr>
          <w:rFonts w:hint="eastAsia" w:ascii="黑体" w:eastAsia="黑体"/>
        </w:rPr>
        <w:t xml:space="preserve"> regulating system</w:t>
      </w:r>
    </w:p>
    <w:p>
      <w:pPr>
        <w:pStyle w:val="24"/>
        <w:widowControl w:val="0"/>
      </w:pPr>
      <w:r>
        <w:rPr>
          <w:rFonts w:hint="eastAsia"/>
        </w:rPr>
        <w:t>用于调节氧气、氮气、氩气等产品气体的压力或流量的系统。包括气动或电动调节阀，及前、后、旁通阀和仪控系统的阀门、过滤器、阻火管段等的组合。</w:t>
      </w:r>
    </w:p>
    <w:p>
      <w:pPr>
        <w:pStyle w:val="44"/>
        <w:widowControl w:val="0"/>
        <w:spacing w:before="156" w:after="156"/>
      </w:pPr>
    </w:p>
    <w:p>
      <w:pPr>
        <w:pStyle w:val="24"/>
        <w:widowControl w:val="0"/>
        <w:rPr>
          <w:rFonts w:ascii="黑体" w:eastAsia="黑体"/>
        </w:rPr>
      </w:pPr>
      <w:r>
        <w:rPr>
          <w:rFonts w:hint="eastAsia" w:ascii="黑体" w:eastAsia="黑体"/>
        </w:rPr>
        <w:t xml:space="preserve">低温液体气化器 </w:t>
      </w:r>
      <w:r>
        <w:rPr>
          <w:rFonts w:ascii="黑体" w:eastAsia="黑体"/>
        </w:rPr>
        <w:t xml:space="preserve"> cryogeni</w:t>
      </w:r>
      <w:r>
        <w:rPr>
          <w:rFonts w:hint="eastAsia" w:ascii="黑体" w:eastAsia="黑体"/>
        </w:rPr>
        <w:t>c liquid vaporizers</w:t>
      </w:r>
    </w:p>
    <w:p>
      <w:pPr>
        <w:pStyle w:val="24"/>
        <w:widowControl w:val="0"/>
      </w:pPr>
      <w:r>
        <w:rPr>
          <w:rFonts w:hint="eastAsia"/>
        </w:rPr>
        <w:t>利用水蒸气、热水、空气、高温烟气、电加热管等作为热源，与换热管内的低温液体进行换热，并使之气化的设备，通常分为水浴式和空温式两种。</w:t>
      </w:r>
    </w:p>
    <w:p>
      <w:pPr>
        <w:pStyle w:val="44"/>
        <w:widowControl w:val="0"/>
        <w:spacing w:before="156" w:after="156"/>
      </w:pPr>
    </w:p>
    <w:p>
      <w:pPr>
        <w:pStyle w:val="24"/>
        <w:widowControl w:val="0"/>
        <w:rPr>
          <w:rFonts w:ascii="黑体" w:eastAsia="黑体"/>
        </w:rPr>
      </w:pPr>
      <w:r>
        <w:rPr>
          <w:rFonts w:hint="eastAsia" w:ascii="黑体" w:eastAsia="黑体"/>
        </w:rPr>
        <w:t xml:space="preserve">低温液体 </w:t>
      </w:r>
      <w:r>
        <w:rPr>
          <w:rFonts w:ascii="黑体" w:eastAsia="黑体"/>
        </w:rPr>
        <w:t>cryogenic</w:t>
      </w:r>
      <w:r>
        <w:rPr>
          <w:rFonts w:hint="eastAsia" w:ascii="黑体" w:eastAsia="黑体"/>
        </w:rPr>
        <w:t xml:space="preserve"> liquid</w:t>
      </w:r>
    </w:p>
    <w:p>
      <w:pPr>
        <w:pStyle w:val="24"/>
        <w:widowControl w:val="0"/>
      </w:pPr>
      <w:r>
        <w:rPr>
          <w:rFonts w:hint="eastAsia"/>
        </w:rPr>
        <w:t>液态氧、液态氮、液态氩、液态空气等常压下沸点温度低于-</w:t>
      </w:r>
      <w:r>
        <w:t>12</w:t>
      </w:r>
      <w:r>
        <w:rPr>
          <w:rFonts w:hint="eastAsia"/>
        </w:rPr>
        <w:t>0℃的液体。</w:t>
      </w:r>
    </w:p>
    <w:p>
      <w:pPr>
        <w:pStyle w:val="44"/>
        <w:widowControl w:val="0"/>
        <w:spacing w:before="156" w:after="156"/>
      </w:pPr>
    </w:p>
    <w:p>
      <w:pPr>
        <w:pStyle w:val="24"/>
        <w:widowControl w:val="0"/>
        <w:rPr>
          <w:rFonts w:ascii="黑体" w:eastAsia="黑体"/>
        </w:rPr>
      </w:pPr>
      <w:r>
        <w:rPr>
          <w:rFonts w:hint="eastAsia" w:ascii="黑体" w:eastAsia="黑体"/>
        </w:rPr>
        <w:t xml:space="preserve">吹扫气体 </w:t>
      </w:r>
      <w:r>
        <w:rPr>
          <w:rFonts w:ascii="黑体" w:eastAsia="黑体"/>
        </w:rPr>
        <w:t>purge gas</w:t>
      </w:r>
    </w:p>
    <w:p>
      <w:pPr>
        <w:pStyle w:val="24"/>
        <w:widowControl w:val="0"/>
      </w:pPr>
      <w:r>
        <w:rPr>
          <w:rFonts w:hint="eastAsia"/>
        </w:rPr>
        <w:t>用于除湿、洁净或防止局部氧浓度升高的干燥、无油气体。一般为空气、氮气或氩气等气体。</w:t>
      </w:r>
    </w:p>
    <w:p>
      <w:pPr>
        <w:pStyle w:val="47"/>
        <w:widowControl w:val="0"/>
        <w:spacing w:before="312" w:after="312"/>
      </w:pPr>
      <w:bookmarkStart w:id="68" w:name="_Toc43215133"/>
      <w:bookmarkStart w:id="69" w:name="_Toc43218589"/>
      <w:bookmarkStart w:id="70" w:name="_Toc51244020"/>
      <w:bookmarkStart w:id="71" w:name="_Toc54355455"/>
      <w:bookmarkStart w:id="72" w:name="_Toc54434954"/>
      <w:bookmarkStart w:id="73" w:name="_Toc46239381"/>
      <w:bookmarkStart w:id="74" w:name="_Toc54446520"/>
      <w:bookmarkStart w:id="75" w:name="_Toc54447473"/>
      <w:bookmarkStart w:id="76" w:name="_Toc43218317"/>
      <w:bookmarkStart w:id="77" w:name="_Toc45627590"/>
      <w:bookmarkStart w:id="78" w:name="_Toc44335663"/>
      <w:bookmarkStart w:id="79" w:name="_Toc44335566"/>
      <w:bookmarkStart w:id="80" w:name="_Toc44336244"/>
      <w:r>
        <w:rPr>
          <w:rFonts w:hint="eastAsia"/>
        </w:rPr>
        <w:t>装置布局与工程总体</w:t>
      </w:r>
      <w:bookmarkEnd w:id="68"/>
      <w:bookmarkEnd w:id="69"/>
      <w:bookmarkEnd w:id="70"/>
      <w:bookmarkEnd w:id="71"/>
      <w:bookmarkEnd w:id="72"/>
      <w:bookmarkEnd w:id="73"/>
      <w:bookmarkEnd w:id="74"/>
      <w:bookmarkEnd w:id="75"/>
      <w:bookmarkEnd w:id="76"/>
      <w:bookmarkEnd w:id="77"/>
      <w:bookmarkEnd w:id="78"/>
      <w:bookmarkEnd w:id="79"/>
      <w:bookmarkEnd w:id="80"/>
    </w:p>
    <w:p>
      <w:pPr>
        <w:pStyle w:val="44"/>
        <w:widowControl w:val="0"/>
        <w:spacing w:before="156" w:after="156"/>
      </w:pPr>
      <w:r>
        <w:rPr>
          <w:rFonts w:hint="eastAsia"/>
        </w:rPr>
        <w:t>厂址选择</w:t>
      </w:r>
    </w:p>
    <w:p>
      <w:pPr>
        <w:pStyle w:val="65"/>
        <w:widowControl w:val="0"/>
        <w:jc w:val="both"/>
      </w:pPr>
      <w:r>
        <w:rPr>
          <w:rFonts w:hint="eastAsia"/>
        </w:rPr>
        <w:t>空分装置的选址应依据国家现行的安全生产、环境保护、职业卫生等规程、规范的要求，结合拟建空分装置生产过程中对环境、卫生、职业性有害因素的危害状况，建设地点现状以及水文、地质、气象等因素，进行综合分析后确定。</w:t>
      </w:r>
    </w:p>
    <w:p>
      <w:pPr>
        <w:pStyle w:val="65"/>
        <w:widowControl w:val="0"/>
        <w:jc w:val="both"/>
      </w:pPr>
      <w:r>
        <w:rPr>
          <w:rFonts w:hint="eastAsia"/>
        </w:rPr>
        <w:t>空分装置的选址应符合国家产业政策、工业布局与当地城乡的整体规划，选取经济效益、社会效益、环境效益优良且安全可靠的区域。</w:t>
      </w:r>
    </w:p>
    <w:p>
      <w:pPr>
        <w:pStyle w:val="65"/>
        <w:widowControl w:val="0"/>
        <w:jc w:val="both"/>
      </w:pPr>
      <w:r>
        <w:rPr>
          <w:rFonts w:hint="eastAsia"/>
        </w:rPr>
        <w:t>空分装置可做为一个工厂的附属或配套装置随工厂主体一起选址建设。在化工园区布置时，应进行统一规划。</w:t>
      </w:r>
    </w:p>
    <w:p>
      <w:pPr>
        <w:pStyle w:val="65"/>
        <w:widowControl w:val="0"/>
        <w:jc w:val="both"/>
      </w:pPr>
      <w:r>
        <w:rPr>
          <w:rFonts w:hint="eastAsia"/>
        </w:rPr>
        <w:t>在化工园区、一个工厂中附属或配套布置的空分装置应考虑周边工业产品的兼容和环境影响，以及对周围企业、居民等带来的安全影响。</w:t>
      </w:r>
    </w:p>
    <w:p>
      <w:pPr>
        <w:pStyle w:val="65"/>
        <w:widowControl w:val="0"/>
        <w:jc w:val="both"/>
      </w:pPr>
      <w:r>
        <w:rPr>
          <w:rFonts w:hint="eastAsia"/>
        </w:rPr>
        <w:t>空分装置的选址应避开地震活动断层和易发生洪灾、地质灾害的区域。</w:t>
      </w:r>
    </w:p>
    <w:p>
      <w:pPr>
        <w:pStyle w:val="44"/>
        <w:widowControl w:val="0"/>
        <w:spacing w:before="156" w:after="156"/>
      </w:pPr>
      <w:r>
        <w:rPr>
          <w:rFonts w:hint="eastAsia"/>
        </w:rPr>
        <w:t>总平面布置</w:t>
      </w:r>
    </w:p>
    <w:p>
      <w:pPr>
        <w:pStyle w:val="65"/>
        <w:widowControl w:val="0"/>
        <w:jc w:val="both"/>
      </w:pPr>
      <w:r>
        <w:rPr>
          <w:rFonts w:hint="eastAsia"/>
        </w:rPr>
        <w:t>空分装置附属建、构筑物生产类别、耐火等级及建、构筑物与其他工业、民用设施的防火间距，应符合G</w:t>
      </w:r>
      <w:r>
        <w:t>B 50016</w:t>
      </w:r>
      <w:r>
        <w:rPr>
          <w:rFonts w:hint="eastAsia"/>
        </w:rPr>
        <w:t>及现行相关规范的有关规定。</w:t>
      </w:r>
    </w:p>
    <w:p>
      <w:pPr>
        <w:pStyle w:val="65"/>
        <w:widowControl w:val="0"/>
        <w:jc w:val="both"/>
      </w:pPr>
      <w:r>
        <w:rPr>
          <w:rFonts w:hint="eastAsia"/>
        </w:rPr>
        <w:t>空分装置的吸风口，应位于乙炔站和电石渣场的全年最小频率风向的下风侧，并宜位于其它烃类、二氧化碳气体和尘埃等发生源设施的全年最小频率风向的下风侧。</w:t>
      </w:r>
    </w:p>
    <w:p>
      <w:pPr>
        <w:pStyle w:val="65"/>
        <w:widowControl w:val="0"/>
        <w:jc w:val="both"/>
      </w:pPr>
      <w:r>
        <w:rPr>
          <w:rFonts w:hint="eastAsia"/>
        </w:rPr>
        <w:t>空分装置吸风口处空气中有害杂质的含量应符合表1的规定。当吸风口空气中有害杂质含量超标时，应采取针对性的分子筛吸附或其它有效措施。</w:t>
      </w:r>
    </w:p>
    <w:p>
      <w:pPr>
        <w:pStyle w:val="128"/>
        <w:widowControl w:val="0"/>
        <w:spacing w:before="156" w:after="156"/>
      </w:pPr>
      <w:r>
        <w:rPr>
          <w:rFonts w:hint="eastAsia"/>
        </w:rPr>
        <w:t>吸风口处空气中乙炔、碳氢化合物等杂质的允许极限含量</w:t>
      </w:r>
    </w:p>
    <w:tbl>
      <w:tblPr>
        <w:tblStyle w:val="34"/>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1842"/>
        <w:gridCol w:w="158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32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检测项目名称</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小型空分</w:t>
            </w:r>
          </w:p>
        </w:tc>
        <w:tc>
          <w:tcPr>
            <w:tcW w:w="1581"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大中型空分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特大型空分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324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＜1000Nm</w:t>
            </w:r>
            <w:r>
              <w:rPr>
                <w:rFonts w:hint="eastAsia" w:ascii="宋体" w:hAnsi="宋体"/>
                <w:sz w:val="18"/>
                <w:szCs w:val="18"/>
                <w:vertAlign w:val="superscript"/>
              </w:rPr>
              <w:t>3</w:t>
            </w:r>
            <w:r>
              <w:rPr>
                <w:rFonts w:hint="eastAsia" w:ascii="宋体" w:hAnsi="宋体"/>
                <w:sz w:val="18"/>
                <w:szCs w:val="18"/>
              </w:rPr>
              <w:t>/h</w:t>
            </w:r>
          </w:p>
        </w:tc>
        <w:tc>
          <w:tcPr>
            <w:tcW w:w="1581"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≥1000Nm</w:t>
            </w:r>
            <w:r>
              <w:rPr>
                <w:rFonts w:hint="eastAsia" w:ascii="宋体" w:hAnsi="宋体"/>
                <w:sz w:val="18"/>
                <w:szCs w:val="18"/>
                <w:vertAlign w:val="superscript"/>
              </w:rPr>
              <w:t>3</w:t>
            </w:r>
            <w:r>
              <w:rPr>
                <w:rFonts w:hint="eastAsia" w:ascii="宋体" w:hAnsi="宋体"/>
                <w:sz w:val="18"/>
                <w:szCs w:val="18"/>
              </w:rPr>
              <w:t>/h,</w:t>
            </w:r>
          </w:p>
          <w:p>
            <w:pPr>
              <w:jc w:val="center"/>
              <w:rPr>
                <w:rFonts w:ascii="宋体" w:hAnsi="宋体"/>
                <w:sz w:val="18"/>
                <w:szCs w:val="18"/>
              </w:rPr>
            </w:pPr>
            <w:r>
              <w:rPr>
                <w:rFonts w:hint="eastAsia" w:ascii="宋体" w:hAnsi="宋体"/>
                <w:sz w:val="18"/>
                <w:szCs w:val="18"/>
              </w:rPr>
              <w:t>＜60000Nm</w:t>
            </w:r>
            <w:r>
              <w:rPr>
                <w:rFonts w:hint="eastAsia" w:ascii="宋体" w:hAnsi="宋体"/>
                <w:sz w:val="18"/>
                <w:szCs w:val="18"/>
                <w:vertAlign w:val="superscript"/>
              </w:rPr>
              <w:t>3</w:t>
            </w:r>
            <w:r>
              <w:rPr>
                <w:rFonts w:hint="eastAsia" w:ascii="宋体" w:hAnsi="宋体"/>
                <w:sz w:val="18"/>
                <w:szCs w:val="18"/>
              </w:rPr>
              <w:t>/h</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≥60000Nm</w:t>
            </w:r>
            <w:r>
              <w:rPr>
                <w:rFonts w:hint="eastAsia" w:ascii="宋体" w:hAnsi="宋体"/>
                <w:sz w:val="18"/>
                <w:szCs w:val="18"/>
                <w:vertAlign w:val="superscript"/>
              </w:rPr>
              <w:t>3</w:t>
            </w:r>
            <w:r>
              <w:rPr>
                <w:rFonts w:hint="eastAsia" w:ascii="宋体" w:hAnsi="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机械杂质 /（mg/m</w:t>
            </w:r>
            <w:r>
              <w:rPr>
                <w:rFonts w:hint="eastAsia" w:ascii="宋体" w:hAnsi="宋体"/>
                <w:sz w:val="18"/>
                <w:szCs w:val="18"/>
                <w:vertAlign w:val="superscript"/>
              </w:rPr>
              <w:t>3</w:t>
            </w:r>
            <w:r>
              <w:rPr>
                <w:rFonts w:hint="eastAsia" w:ascii="宋体" w:hAnsi="宋体"/>
                <w:sz w:val="18"/>
                <w:szCs w:val="18"/>
              </w:rPr>
              <w:t>）</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30</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二氧化碳(CO</w:t>
            </w:r>
            <w:r>
              <w:rPr>
                <w:rFonts w:hint="eastAsia" w:ascii="宋体" w:hAnsi="宋体"/>
                <w:sz w:val="18"/>
                <w:szCs w:val="18"/>
                <w:vertAlign w:val="subscript"/>
              </w:rPr>
              <w:t>2</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400</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400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甲烷 </w:t>
            </w:r>
            <w:r>
              <w:rPr>
                <w:rFonts w:ascii="宋体" w:hAnsi="宋体"/>
                <w:sz w:val="18"/>
                <w:szCs w:val="18"/>
              </w:rPr>
              <w:t>(</w:t>
            </w:r>
            <w:r>
              <w:rPr>
                <w:rFonts w:hint="eastAsia" w:ascii="宋体" w:hAnsi="宋体"/>
                <w:sz w:val="18"/>
                <w:szCs w:val="18"/>
              </w:rPr>
              <w:t>CH</w:t>
            </w:r>
            <w:r>
              <w:rPr>
                <w:rFonts w:hint="eastAsia" w:ascii="宋体" w:hAnsi="宋体"/>
                <w:sz w:val="18"/>
                <w:szCs w:val="18"/>
                <w:vertAlign w:val="subscript"/>
              </w:rPr>
              <w:t>4</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乙烷 </w:t>
            </w:r>
            <w:r>
              <w:rPr>
                <w:rFonts w:ascii="宋体" w:hAnsi="宋体"/>
                <w:sz w:val="18"/>
                <w:szCs w:val="18"/>
              </w:rPr>
              <w:t>(</w:t>
            </w: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6</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乙烯 </w:t>
            </w:r>
            <w:r>
              <w:rPr>
                <w:rFonts w:ascii="宋体" w:hAnsi="宋体"/>
                <w:sz w:val="18"/>
                <w:szCs w:val="18"/>
              </w:rPr>
              <w:t>(</w:t>
            </w: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4</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乙炔 </w:t>
            </w:r>
            <w:r>
              <w:rPr>
                <w:rFonts w:ascii="宋体" w:hAnsi="宋体"/>
                <w:sz w:val="18"/>
                <w:szCs w:val="18"/>
              </w:rPr>
              <w:t>(</w:t>
            </w:r>
            <w:r>
              <w:rPr>
                <w:rFonts w:hint="eastAsia" w:ascii="宋体" w:hAnsi="宋体"/>
                <w:sz w:val="18"/>
                <w:szCs w:val="18"/>
              </w:rPr>
              <w:t>C</w:t>
            </w:r>
            <w:r>
              <w:rPr>
                <w:rFonts w:hint="eastAsia" w:ascii="宋体" w:hAnsi="宋体"/>
                <w:sz w:val="18"/>
                <w:szCs w:val="18"/>
                <w:vertAlign w:val="subscript"/>
              </w:rPr>
              <w:t>2</w:t>
            </w:r>
            <w:r>
              <w:rPr>
                <w:rFonts w:hint="eastAsia" w:ascii="宋体" w:hAnsi="宋体"/>
                <w:sz w:val="18"/>
                <w:szCs w:val="18"/>
              </w:rPr>
              <w:t>H</w:t>
            </w:r>
            <w:r>
              <w:rPr>
                <w:rFonts w:hint="eastAsia" w:ascii="宋体" w:hAnsi="宋体"/>
                <w:sz w:val="18"/>
                <w:szCs w:val="18"/>
                <w:vertAlign w:val="subscript"/>
              </w:rPr>
              <w:t>2</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1</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丙烷 </w:t>
            </w:r>
            <w:r>
              <w:rPr>
                <w:rFonts w:ascii="宋体" w:hAnsi="宋体"/>
                <w:sz w:val="18"/>
                <w:szCs w:val="18"/>
              </w:rPr>
              <w:t>(</w:t>
            </w:r>
            <w:r>
              <w:rPr>
                <w:rFonts w:hint="eastAsia" w:ascii="宋体" w:hAnsi="宋体"/>
                <w:sz w:val="18"/>
                <w:szCs w:val="18"/>
              </w:rPr>
              <w:t>C</w:t>
            </w:r>
            <w:r>
              <w:rPr>
                <w:rFonts w:hint="eastAsia" w:ascii="宋体" w:hAnsi="宋体"/>
                <w:sz w:val="18"/>
                <w:szCs w:val="18"/>
                <w:vertAlign w:val="subscript"/>
              </w:rPr>
              <w:t>3</w:t>
            </w:r>
            <w:r>
              <w:rPr>
                <w:rFonts w:hint="eastAsia" w:ascii="宋体" w:hAnsi="宋体"/>
                <w:sz w:val="18"/>
                <w:szCs w:val="18"/>
              </w:rPr>
              <w:t>H</w:t>
            </w:r>
            <w:r>
              <w:rPr>
                <w:rFonts w:hint="eastAsia" w:ascii="宋体" w:hAnsi="宋体"/>
                <w:sz w:val="18"/>
                <w:szCs w:val="18"/>
                <w:vertAlign w:val="subscript"/>
              </w:rPr>
              <w:t>8</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0.05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总烃 (C</w:t>
            </w:r>
            <w:r>
              <w:rPr>
                <w:rFonts w:hint="eastAsia" w:ascii="宋体" w:hAnsi="宋体"/>
                <w:sz w:val="18"/>
                <w:szCs w:val="18"/>
                <w:vertAlign w:val="subscript"/>
              </w:rPr>
              <w:t>n</w:t>
            </w:r>
            <w:r>
              <w:rPr>
                <w:rFonts w:hint="eastAsia" w:ascii="宋体" w:hAnsi="宋体"/>
                <w:sz w:val="18"/>
                <w:szCs w:val="18"/>
              </w:rPr>
              <w:t>H</w:t>
            </w:r>
            <w:r>
              <w:rPr>
                <w:rFonts w:hint="eastAsia" w:ascii="宋体" w:hAnsi="宋体"/>
                <w:sz w:val="18"/>
                <w:szCs w:val="18"/>
                <w:vertAlign w:val="subscript"/>
              </w:rPr>
              <w:t>m</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30</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8</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氧化亚氮(N</w:t>
            </w:r>
            <w:r>
              <w:rPr>
                <w:rFonts w:hint="eastAsia" w:ascii="宋体" w:hAnsi="宋体"/>
                <w:sz w:val="18"/>
                <w:szCs w:val="18"/>
                <w:vertAlign w:val="subscript"/>
              </w:rPr>
              <w:t>2</w:t>
            </w:r>
            <w:r>
              <w:rPr>
                <w:rFonts w:hint="eastAsia" w:ascii="宋体" w:hAnsi="宋体"/>
                <w:sz w:val="18"/>
                <w:szCs w:val="18"/>
              </w:rPr>
              <w:t>O</w:t>
            </w:r>
            <w:r>
              <w:rPr>
                <w:rFonts w:ascii="宋体" w:hAnsi="宋体"/>
                <w:sz w:val="18"/>
                <w:szCs w:val="18"/>
              </w:rPr>
              <w:t>)</w:t>
            </w:r>
            <w:r>
              <w:rPr>
                <w:rFonts w:hint="eastAsia" w:ascii="宋体" w:hAnsi="宋体"/>
                <w:sz w:val="18"/>
                <w:szCs w:val="18"/>
              </w:rPr>
              <w:t>含量（体积分数）/10</w:t>
            </w:r>
            <w:r>
              <w:rPr>
                <w:rFonts w:hint="eastAsia" w:ascii="宋体" w:hAnsi="宋体"/>
                <w:sz w:val="18"/>
                <w:szCs w:val="18"/>
                <w:vertAlign w:val="superscript"/>
              </w:rPr>
              <w:t>-6</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0.35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0.35</w:t>
            </w:r>
          </w:p>
        </w:tc>
      </w:tr>
    </w:tbl>
    <w:p>
      <w:pPr>
        <w:pStyle w:val="65"/>
        <w:widowControl w:val="0"/>
        <w:jc w:val="both"/>
      </w:pPr>
      <w:r>
        <w:rPr>
          <w:rFonts w:hint="eastAsia"/>
        </w:rPr>
        <w:t>若在建设初期无法确定空分装置投产后吸风口处空气中乙炔、碳氢化合物等杂质含量，吸风口与乙炔、碳氢化合物等发生源之间的最小水平间距应符合表2的规定。</w:t>
      </w:r>
    </w:p>
    <w:p>
      <w:pPr>
        <w:pStyle w:val="128"/>
        <w:widowControl w:val="0"/>
        <w:spacing w:before="156" w:after="156"/>
      </w:pPr>
      <w:r>
        <w:rPr>
          <w:rFonts w:hint="eastAsia"/>
        </w:rPr>
        <w:t>吸风口与乙炔、碳氢化合物等发生源之间的最小水平间距</w:t>
      </w:r>
    </w:p>
    <w:tbl>
      <w:tblPr>
        <w:tblStyle w:val="35"/>
        <w:tblW w:w="89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07"/>
        <w:gridCol w:w="11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807" w:type="dxa"/>
            <w:tcBorders>
              <w:top w:val="single" w:color="auto" w:sz="8" w:space="0"/>
              <w:left w:val="single" w:color="auto" w:sz="8" w:space="0"/>
              <w:bottom w:val="single" w:color="auto" w:sz="8" w:space="0"/>
              <w:right w:val="single" w:color="auto" w:sz="4" w:space="0"/>
            </w:tcBorders>
          </w:tcPr>
          <w:p>
            <w:pPr>
              <w:jc w:val="center"/>
              <w:rPr>
                <w:rFonts w:ascii="宋体"/>
                <w:sz w:val="18"/>
                <w:szCs w:val="18"/>
              </w:rPr>
            </w:pPr>
            <w:r>
              <w:rPr>
                <w:rFonts w:hint="eastAsia" w:ascii="宋体"/>
                <w:sz w:val="18"/>
                <w:szCs w:val="18"/>
              </w:rPr>
              <w:t>乙炔、碳氢化合物等发生源</w:t>
            </w:r>
          </w:p>
        </w:tc>
        <w:tc>
          <w:tcPr>
            <w:tcW w:w="1142" w:type="dxa"/>
            <w:tcBorders>
              <w:top w:val="single" w:color="auto" w:sz="8" w:space="0"/>
              <w:left w:val="single" w:color="auto" w:sz="4" w:space="0"/>
              <w:bottom w:val="single" w:color="auto" w:sz="8" w:space="0"/>
              <w:right w:val="single" w:color="auto" w:sz="8" w:space="0"/>
            </w:tcBorders>
          </w:tcPr>
          <w:p>
            <w:pPr>
              <w:jc w:val="center"/>
              <w:rPr>
                <w:rFonts w:ascii="宋体"/>
                <w:sz w:val="18"/>
                <w:szCs w:val="18"/>
              </w:rPr>
            </w:pPr>
            <w:r>
              <w:rPr>
                <w:rFonts w:hint="eastAsia" w:ascii="宋体"/>
                <w:sz w:val="18"/>
                <w:szCs w:val="18"/>
              </w:rPr>
              <w:t>水平间距/m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807" w:type="dxa"/>
            <w:tcBorders>
              <w:top w:val="single" w:color="auto" w:sz="8" w:space="0"/>
              <w:left w:val="single" w:color="auto" w:sz="8" w:space="0"/>
              <w:bottom w:val="single" w:color="auto" w:sz="4" w:space="0"/>
              <w:right w:val="single" w:color="auto" w:sz="4" w:space="0"/>
            </w:tcBorders>
          </w:tcPr>
          <w:p>
            <w:pPr>
              <w:rPr>
                <w:rFonts w:ascii="宋体"/>
                <w:sz w:val="18"/>
                <w:szCs w:val="18"/>
              </w:rPr>
            </w:pPr>
            <w:r>
              <w:rPr>
                <w:rFonts w:hint="eastAsia" w:ascii="宋体"/>
                <w:sz w:val="18"/>
                <w:szCs w:val="18"/>
              </w:rPr>
              <w:t>电石、乙炔、炼油、聚乙烯及其衍生物生产</w:t>
            </w:r>
          </w:p>
        </w:tc>
        <w:tc>
          <w:tcPr>
            <w:tcW w:w="1142" w:type="dxa"/>
            <w:tcBorders>
              <w:top w:val="single" w:color="auto" w:sz="8" w:space="0"/>
              <w:left w:val="single" w:color="auto" w:sz="4" w:space="0"/>
              <w:bottom w:val="single" w:color="auto" w:sz="4" w:space="0"/>
              <w:right w:val="single" w:color="auto" w:sz="8" w:space="0"/>
            </w:tcBorders>
            <w:vAlign w:val="center"/>
          </w:tcPr>
          <w:p>
            <w:pPr>
              <w:jc w:val="center"/>
              <w:rPr>
                <w:rFonts w:ascii="宋体"/>
                <w:sz w:val="18"/>
                <w:szCs w:val="18"/>
              </w:rPr>
            </w:pPr>
            <w:r>
              <w:rPr>
                <w:rFonts w:hint="eastAsia" w:ascii="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807" w:type="dxa"/>
            <w:tcBorders>
              <w:top w:val="single" w:color="auto" w:sz="4" w:space="0"/>
              <w:left w:val="single" w:color="auto" w:sz="8" w:space="0"/>
              <w:bottom w:val="single" w:color="auto" w:sz="4" w:space="0"/>
              <w:right w:val="single" w:color="auto" w:sz="4" w:space="0"/>
            </w:tcBorders>
          </w:tcPr>
          <w:p>
            <w:pPr>
              <w:rPr>
                <w:rFonts w:ascii="宋体"/>
                <w:sz w:val="18"/>
                <w:szCs w:val="18"/>
              </w:rPr>
            </w:pPr>
            <w:r>
              <w:rPr>
                <w:rFonts w:hint="eastAsia" w:ascii="宋体"/>
                <w:sz w:val="18"/>
                <w:szCs w:val="18"/>
              </w:rPr>
              <w:t>乙烯、乙烷、合成氨、硝酸、煤气化、丙烷气生产</w:t>
            </w:r>
          </w:p>
        </w:tc>
        <w:tc>
          <w:tcPr>
            <w:tcW w:w="1142"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szCs w:val="18"/>
              </w:rPr>
            </w:pPr>
            <w:r>
              <w:rPr>
                <w:rFonts w:hint="eastAsia" w:ascii="宋体"/>
                <w:sz w:val="18"/>
                <w:szCs w:val="18"/>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807" w:type="dxa"/>
            <w:tcBorders>
              <w:top w:val="single" w:color="auto" w:sz="4" w:space="0"/>
              <w:left w:val="single" w:color="auto" w:sz="8" w:space="0"/>
              <w:bottom w:val="single" w:color="auto" w:sz="8" w:space="0"/>
              <w:right w:val="single" w:color="auto" w:sz="4" w:space="0"/>
            </w:tcBorders>
          </w:tcPr>
          <w:p>
            <w:pPr>
              <w:rPr>
                <w:rFonts w:ascii="宋体"/>
                <w:sz w:val="18"/>
                <w:szCs w:val="18"/>
              </w:rPr>
            </w:pPr>
            <w:r>
              <w:rPr>
                <w:rFonts w:hint="eastAsia" w:ascii="宋体"/>
                <w:sz w:val="18"/>
                <w:szCs w:val="18"/>
              </w:rPr>
              <w:t>炼焦、炼铁（高炉、直接还原和熔融还原）、转炉、铁合金生产（包含配套的煤气回收、煤气柜、煤气放散塔）</w:t>
            </w:r>
          </w:p>
        </w:tc>
        <w:tc>
          <w:tcPr>
            <w:tcW w:w="1142" w:type="dxa"/>
            <w:tcBorders>
              <w:top w:val="single" w:color="auto" w:sz="4" w:space="0"/>
              <w:left w:val="single" w:color="auto" w:sz="4" w:space="0"/>
              <w:bottom w:val="single" w:color="auto" w:sz="8" w:space="0"/>
              <w:right w:val="single" w:color="auto" w:sz="8" w:space="0"/>
            </w:tcBorders>
            <w:vAlign w:val="center"/>
          </w:tcPr>
          <w:p>
            <w:pPr>
              <w:jc w:val="center"/>
              <w:rPr>
                <w:rFonts w:ascii="宋体"/>
                <w:sz w:val="18"/>
                <w:szCs w:val="18"/>
              </w:rPr>
            </w:pPr>
            <w:r>
              <w:rPr>
                <w:rFonts w:hint="eastAsia" w:ascii="宋体"/>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49" w:type="dxa"/>
            <w:gridSpan w:val="2"/>
            <w:tcBorders>
              <w:top w:val="single" w:color="auto" w:sz="8" w:space="0"/>
              <w:left w:val="single" w:color="auto" w:sz="8" w:space="0"/>
              <w:bottom w:val="single" w:color="auto" w:sz="8" w:space="0"/>
              <w:right w:val="single" w:color="auto" w:sz="8" w:space="0"/>
            </w:tcBorders>
          </w:tcPr>
          <w:p>
            <w:pPr>
              <w:pStyle w:val="67"/>
              <w:widowControl w:val="0"/>
            </w:pPr>
            <w:r>
              <w:rPr>
                <w:rFonts w:hint="eastAsia"/>
              </w:rPr>
              <w:t>水平间距应按吸风口与乙炔、碳氢化合物等发生源相邻面外壁或边缘的最近距离计算。</w:t>
            </w:r>
          </w:p>
          <w:p>
            <w:pPr>
              <w:pStyle w:val="67"/>
              <w:widowControl w:val="0"/>
            </w:pPr>
            <w:r>
              <w:rPr>
                <w:rFonts w:hint="eastAsia"/>
              </w:rPr>
              <w:t>本表中的距离适用于有前置分子筛吸附净化的深冷空分装置。</w:t>
            </w:r>
          </w:p>
          <w:p>
            <w:pPr>
              <w:pStyle w:val="67"/>
              <w:widowControl w:val="0"/>
            </w:pPr>
            <w:r>
              <w:rPr>
                <w:rFonts w:hint="eastAsia"/>
              </w:rPr>
              <w:t>当吸风口位于有害气体发生源的全年最小频率风向的下风侧时，距离可减少50%，但不应小于100m。</w:t>
            </w:r>
          </w:p>
        </w:tc>
      </w:tr>
    </w:tbl>
    <w:p>
      <w:pPr>
        <w:pStyle w:val="65"/>
        <w:widowControl w:val="0"/>
        <w:jc w:val="both"/>
      </w:pPr>
      <w:r>
        <w:rPr>
          <w:rFonts w:hint="eastAsia"/>
        </w:rPr>
        <w:t>空分装置厂区平面布置应以低温精馏冷箱为主体、液氧储罐为主要危险源进行综合考虑，且应符合GB/T 37243、GB 36894的要求。</w:t>
      </w:r>
    </w:p>
    <w:p>
      <w:pPr>
        <w:pStyle w:val="65"/>
        <w:widowControl w:val="0"/>
        <w:jc w:val="both"/>
        <w:rPr>
          <w:spacing w:val="-10"/>
        </w:rPr>
      </w:pPr>
      <w:r>
        <w:rPr>
          <w:rFonts w:hint="eastAsia"/>
          <w:spacing w:val="-10"/>
        </w:rPr>
        <w:t>液氧储罐与空分冷箱间距应大于14m，与控制室、化验室间距不小于25m，与室外变电站间距不小于3</w:t>
      </w:r>
      <w:r>
        <w:rPr>
          <w:spacing w:val="-10"/>
        </w:rPr>
        <w:t>0</w:t>
      </w:r>
      <w:r>
        <w:rPr>
          <w:rFonts w:hint="eastAsia"/>
          <w:spacing w:val="-10"/>
        </w:rPr>
        <w:t>m。</w:t>
      </w:r>
    </w:p>
    <w:p>
      <w:pPr>
        <w:pStyle w:val="65"/>
        <w:widowControl w:val="0"/>
        <w:jc w:val="both"/>
      </w:pPr>
      <w:r>
        <w:rPr>
          <w:rFonts w:hint="eastAsia"/>
        </w:rPr>
        <w:t>液氧储罐周围10m范围内，不应存放杂物、可燃物，不应设计沥青路面。</w:t>
      </w:r>
    </w:p>
    <w:p>
      <w:pPr>
        <w:pStyle w:val="65"/>
        <w:widowControl w:val="0"/>
        <w:jc w:val="both"/>
      </w:pPr>
      <w:r>
        <w:rPr>
          <w:rFonts w:hint="eastAsia"/>
        </w:rPr>
        <w:t>化工、石化、煤化工附属的空分装置宜与总化工装置工艺单元统一考虑控制室、化验室的布置与抗爆设计要求。</w:t>
      </w:r>
    </w:p>
    <w:p>
      <w:pPr>
        <w:pStyle w:val="65"/>
        <w:widowControl w:val="0"/>
        <w:jc w:val="both"/>
      </w:pPr>
      <w:r>
        <w:rPr>
          <w:rFonts w:hint="eastAsia"/>
        </w:rPr>
        <w:t>氧气储罐、惰性气体储罐、室外布置的工艺设备与制氧厂房的间距，应按工艺布置要求确定。</w:t>
      </w:r>
    </w:p>
    <w:p>
      <w:pPr>
        <w:pStyle w:val="65"/>
        <w:widowControl w:val="0"/>
        <w:jc w:val="both"/>
      </w:pPr>
      <w:r>
        <w:rPr>
          <w:rFonts w:hint="eastAsia"/>
        </w:rPr>
        <w:t>氧气（包括液氧）储罐、可燃气体储罐间的防火间距不应小于表3的规定。</w:t>
      </w:r>
    </w:p>
    <w:p>
      <w:pPr>
        <w:pStyle w:val="128"/>
        <w:widowControl w:val="0"/>
        <w:spacing w:before="156" w:after="156"/>
      </w:pPr>
      <w:r>
        <w:rPr>
          <w:rFonts w:hint="eastAsia"/>
        </w:rPr>
        <w:t>氧气（包括液氧）储罐、可燃气体储罐间的防火间距</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0"/>
        <w:gridCol w:w="1276"/>
        <w:gridCol w:w="1114"/>
        <w:gridCol w:w="1275"/>
        <w:gridCol w:w="1134"/>
        <w:gridCol w:w="1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384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储罐型式</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氧气储罐</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液氧储罐</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可燃气体储罐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049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18"/>
                <w:szCs w:val="18"/>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18"/>
                <w:szCs w:val="18"/>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固定容积</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湿（干）式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38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氧气储罐</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1.0D</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1.0D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38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液氧储罐</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57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可燃气体储罐</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湿（干）式</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1.0D</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921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 w:val="18"/>
                <w:szCs w:val="1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固定容积</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1.0D</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2/3D</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0.5D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9216" w:type="dxa"/>
            <w:gridSpan w:val="6"/>
            <w:tcBorders>
              <w:top w:val="single" w:color="000000" w:sz="4" w:space="0"/>
              <w:left w:val="single" w:color="000000" w:sz="4" w:space="0"/>
              <w:bottom w:val="single" w:color="000000" w:sz="4" w:space="0"/>
              <w:right w:val="single" w:color="000000" w:sz="4" w:space="0"/>
            </w:tcBorders>
            <w:vAlign w:val="center"/>
          </w:tcPr>
          <w:p>
            <w:pPr>
              <w:pStyle w:val="67"/>
              <w:widowControl w:val="0"/>
              <w:numPr>
                <w:ilvl w:val="0"/>
                <w:numId w:val="18"/>
              </w:numPr>
            </w:pPr>
            <w:r>
              <w:rPr>
                <w:rFonts w:hint="eastAsia"/>
              </w:rPr>
              <w:t>D为相邻较大储罐的直径。</w:t>
            </w:r>
          </w:p>
          <w:p>
            <w:pPr>
              <w:pStyle w:val="67"/>
              <w:widowControl w:val="0"/>
              <w:numPr>
                <w:ilvl w:val="0"/>
                <w:numId w:val="18"/>
              </w:numPr>
            </w:pPr>
            <w:r>
              <w:rPr>
                <w:rFonts w:hint="eastAsia"/>
              </w:rPr>
              <w:t>“—”表示不应同组布置。</w:t>
            </w:r>
          </w:p>
          <w:p>
            <w:pPr>
              <w:pStyle w:val="67"/>
              <w:widowControl w:val="0"/>
              <w:numPr>
                <w:ilvl w:val="0"/>
                <w:numId w:val="18"/>
              </w:numPr>
            </w:pPr>
            <w:r>
              <w:rPr>
                <w:rFonts w:hint="eastAsia"/>
              </w:rPr>
              <w:t>氧气与氮气、氩气等惰性气体储罐的间距及液氧储罐与液态惰性气体储罐的间距应满足施工和维修要求，且不小于2m。</w:t>
            </w:r>
          </w:p>
          <w:p>
            <w:pPr>
              <w:pStyle w:val="67"/>
              <w:widowControl w:val="0"/>
              <w:numPr>
                <w:ilvl w:val="0"/>
                <w:numId w:val="18"/>
              </w:numPr>
            </w:pPr>
            <w:r>
              <w:rPr>
                <w:rFonts w:hint="eastAsia"/>
              </w:rPr>
              <w:t>氮气、氩气等惰性气体储罐的间距及液态惰性气体储罐的间距应满足施工和维修要求，且不小于2m。</w:t>
            </w:r>
          </w:p>
        </w:tc>
      </w:tr>
    </w:tbl>
    <w:p>
      <w:pPr>
        <w:pStyle w:val="65"/>
        <w:widowControl w:val="0"/>
      </w:pPr>
      <w:r>
        <w:rPr>
          <w:rFonts w:hint="eastAsia"/>
        </w:rPr>
        <w:t>氧气（或液氧）储罐与可燃液体储罐之间的防火间距，不应小于表4的规定。</w:t>
      </w:r>
    </w:p>
    <w:p>
      <w:pPr>
        <w:pStyle w:val="128"/>
        <w:widowControl w:val="0"/>
        <w:spacing w:before="156" w:after="156"/>
      </w:pPr>
      <w:r>
        <w:rPr>
          <w:rFonts w:hint="eastAsia"/>
        </w:rPr>
        <w:t>氧气（或液氧）储罐与可燃液体储罐之间的防火间距(m)</w:t>
      </w:r>
    </w:p>
    <w:tbl>
      <w:tblPr>
        <w:tblStyle w:val="34"/>
        <w:tblW w:w="7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0"/>
        <w:gridCol w:w="1111"/>
        <w:gridCol w:w="221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napToGrid w:val="0"/>
                <w:sz w:val="18"/>
                <w:szCs w:val="18"/>
              </w:rPr>
              <w:t>名称</w:t>
            </w:r>
          </w:p>
        </w:tc>
        <w:tc>
          <w:tcPr>
            <w:tcW w:w="4883" w:type="dxa"/>
            <w:gridSpan w:val="3"/>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 w:val="18"/>
                <w:szCs w:val="18"/>
              </w:rPr>
            </w:pPr>
            <w:r>
              <w:rPr>
                <w:rFonts w:hint="eastAsia" w:ascii="宋体" w:hAnsi="宋体"/>
                <w:sz w:val="18"/>
                <w:szCs w:val="18"/>
              </w:rPr>
              <w:t>氧气储罐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napToGrid w:val="0"/>
                <w:sz w:val="18"/>
                <w:szCs w:val="18"/>
              </w:rPr>
            </w:pPr>
            <w:r>
              <w:rPr>
                <w:rFonts w:hint="eastAsia" w:ascii="宋体" w:hAnsi="宋体"/>
                <w:snapToGrid w:val="0"/>
                <w:sz w:val="18"/>
                <w:szCs w:val="18"/>
              </w:rPr>
              <w:t>V≤1000</w:t>
            </w:r>
            <w:r>
              <w:rPr>
                <w:rFonts w:hint="eastAsia" w:ascii="宋体" w:hAnsi="宋体"/>
                <w:sz w:val="18"/>
                <w:szCs w:val="18"/>
              </w:rPr>
              <w:t>m</w:t>
            </w:r>
            <w:r>
              <w:rPr>
                <w:rFonts w:hint="eastAsia" w:ascii="宋体" w:hAnsi="宋体"/>
                <w:sz w:val="18"/>
                <w:szCs w:val="18"/>
                <w:vertAlign w:val="superscript"/>
              </w:rPr>
              <w:t>3</w:t>
            </w:r>
          </w:p>
        </w:tc>
        <w:tc>
          <w:tcPr>
            <w:tcW w:w="22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napToGrid w:val="0"/>
                <w:sz w:val="18"/>
                <w:szCs w:val="18"/>
              </w:rPr>
            </w:pPr>
            <w:r>
              <w:rPr>
                <w:rFonts w:hint="eastAsia" w:ascii="宋体" w:hAnsi="宋体"/>
                <w:snapToGrid w:val="0"/>
                <w:sz w:val="18"/>
                <w:szCs w:val="18"/>
              </w:rPr>
              <w:t>1000</w:t>
            </w:r>
            <w:r>
              <w:rPr>
                <w:rFonts w:hint="eastAsia" w:ascii="宋体" w:hAnsi="宋体"/>
                <w:sz w:val="18"/>
                <w:szCs w:val="18"/>
              </w:rPr>
              <w:t>m</w:t>
            </w:r>
            <w:r>
              <w:rPr>
                <w:rFonts w:hint="eastAsia" w:ascii="宋体" w:hAnsi="宋体"/>
                <w:sz w:val="18"/>
                <w:szCs w:val="18"/>
                <w:vertAlign w:val="superscript"/>
              </w:rPr>
              <w:t>3</w:t>
            </w:r>
            <w:r>
              <w:rPr>
                <w:rFonts w:hint="eastAsia" w:ascii="宋体" w:hAnsi="宋体"/>
                <w:snapToGrid w:val="0"/>
                <w:sz w:val="18"/>
                <w:szCs w:val="18"/>
              </w:rPr>
              <w:t>＜ V≤50000</w:t>
            </w:r>
            <w:r>
              <w:rPr>
                <w:rFonts w:hint="eastAsia" w:ascii="宋体" w:hAnsi="宋体"/>
                <w:sz w:val="18"/>
                <w:szCs w:val="18"/>
              </w:rPr>
              <w:t>m</w:t>
            </w:r>
            <w:r>
              <w:rPr>
                <w:rFonts w:hint="eastAsia" w:ascii="宋体" w:hAnsi="宋体"/>
                <w:sz w:val="18"/>
                <w:szCs w:val="18"/>
                <w:vertAlign w:val="superscript"/>
              </w:rPr>
              <w:t>3</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napToGrid w:val="0"/>
                <w:sz w:val="18"/>
                <w:szCs w:val="18"/>
              </w:rPr>
            </w:pPr>
            <w:r>
              <w:rPr>
                <w:rFonts w:hint="eastAsia" w:ascii="宋体" w:hAnsi="宋体"/>
                <w:snapToGrid w:val="0"/>
                <w:sz w:val="18"/>
                <w:szCs w:val="18"/>
              </w:rPr>
              <w:t>V＞50000</w:t>
            </w:r>
            <w:r>
              <w:rPr>
                <w:rFonts w:hint="eastAsia" w:ascii="宋体" w:hAnsi="宋体"/>
                <w:sz w:val="18"/>
                <w:szCs w:val="18"/>
              </w:rPr>
              <w:t>m</w:t>
            </w:r>
            <w:r>
              <w:rPr>
                <w:rFonts w:hint="eastAsia" w:ascii="宋体" w:hAnsi="宋体"/>
                <w:sz w:val="18"/>
                <w:szCs w:val="1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00" w:type="dxa"/>
            <w:tcBorders>
              <w:top w:val="single" w:color="auto" w:sz="4" w:space="0"/>
              <w:left w:val="single" w:color="000000" w:sz="4" w:space="0"/>
              <w:bottom w:val="single" w:color="auto" w:sz="4" w:space="0"/>
              <w:right w:val="single" w:color="000000" w:sz="4" w:space="0"/>
            </w:tcBorders>
            <w:vAlign w:val="center"/>
          </w:tcPr>
          <w:p>
            <w:pPr>
              <w:rPr>
                <w:sz w:val="18"/>
                <w:szCs w:val="18"/>
              </w:rPr>
            </w:pPr>
            <w:r>
              <w:rPr>
                <w:rFonts w:hint="eastAsia"/>
                <w:sz w:val="18"/>
                <w:szCs w:val="18"/>
              </w:rPr>
              <w:t>甲、乙、丙类液体储罐</w:t>
            </w:r>
          </w:p>
        </w:tc>
        <w:tc>
          <w:tcPr>
            <w:tcW w:w="1111"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20</w:t>
            </w:r>
          </w:p>
        </w:tc>
        <w:tc>
          <w:tcPr>
            <w:tcW w:w="2213"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25</w:t>
            </w:r>
          </w:p>
        </w:tc>
        <w:tc>
          <w:tcPr>
            <w:tcW w:w="1559" w:type="dxa"/>
            <w:tcBorders>
              <w:top w:val="single" w:color="auto" w:sz="4" w:space="0"/>
              <w:left w:val="single" w:color="000000" w:sz="4" w:space="0"/>
              <w:bottom w:val="single" w:color="auto" w:sz="4"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083" w:type="dxa"/>
            <w:gridSpan w:val="4"/>
            <w:tcBorders>
              <w:top w:val="single" w:color="auto" w:sz="4" w:space="0"/>
              <w:left w:val="single" w:color="000000" w:sz="4" w:space="0"/>
              <w:bottom w:val="single" w:color="000000" w:sz="4" w:space="0"/>
              <w:right w:val="single" w:color="000000" w:sz="4" w:space="0"/>
            </w:tcBorders>
            <w:vAlign w:val="center"/>
          </w:tcPr>
          <w:p>
            <w:pPr>
              <w:pStyle w:val="59"/>
            </w:pPr>
            <w:r>
              <w:rPr>
                <w:rFonts w:hint="eastAsia"/>
              </w:rPr>
              <w:t>液氧储罐以1m</w:t>
            </w:r>
            <w:r>
              <w:rPr>
                <w:vertAlign w:val="superscript"/>
              </w:rPr>
              <w:t>3</w:t>
            </w:r>
            <w:r>
              <w:rPr>
                <w:rFonts w:hint="eastAsia"/>
              </w:rPr>
              <w:t>液氧折合8</w:t>
            </w:r>
            <w:r>
              <w:t>00</w:t>
            </w:r>
            <w:r>
              <w:rPr>
                <w:rFonts w:hint="eastAsia"/>
              </w:rPr>
              <w:t>m</w:t>
            </w:r>
            <w:r>
              <w:rPr>
                <w:vertAlign w:val="superscript"/>
              </w:rPr>
              <w:t>3</w:t>
            </w:r>
            <w:r>
              <w:rPr>
                <w:rFonts w:hint="eastAsia"/>
              </w:rPr>
              <w:t>标准状态气氧计算。</w:t>
            </w:r>
          </w:p>
        </w:tc>
      </w:tr>
    </w:tbl>
    <w:p>
      <w:pPr>
        <w:pStyle w:val="65"/>
        <w:widowControl w:val="0"/>
        <w:jc w:val="both"/>
      </w:pPr>
      <w:r>
        <w:rPr>
          <w:rFonts w:hint="eastAsia"/>
        </w:rPr>
        <w:t>有噪声和振动机组的有关建筑与对有噪声和振动防护要求的其他建筑之间的防护间距应符合GB 50187 的有关规定。应对空分装置区内各类压缩机、纯化系统吸附器及产品的放空管采取隔声、消声措施。若各类气体压缩机的噪声超标，应设置隔声罩，并应符合GB 50087的规定。</w:t>
      </w:r>
    </w:p>
    <w:p>
      <w:pPr>
        <w:pStyle w:val="44"/>
        <w:spacing w:before="156" w:after="156"/>
      </w:pPr>
      <w:bookmarkStart w:id="81" w:name="_Toc46239390"/>
      <w:bookmarkStart w:id="82" w:name="_Toc44335672"/>
      <w:bookmarkStart w:id="83" w:name="_Toc51244029"/>
      <w:bookmarkStart w:id="84" w:name="_Toc43218326"/>
      <w:bookmarkStart w:id="85" w:name="_Toc43215142"/>
      <w:bookmarkStart w:id="86" w:name="_Toc43218598"/>
      <w:bookmarkStart w:id="87" w:name="_Toc44335575"/>
      <w:bookmarkStart w:id="88" w:name="_Toc44336253"/>
      <w:bookmarkStart w:id="89" w:name="_Toc45627599"/>
      <w:r>
        <w:rPr>
          <w:rFonts w:hint="eastAsia"/>
        </w:rPr>
        <w:t>空分循环水系统</w:t>
      </w:r>
      <w:bookmarkEnd w:id="81"/>
      <w:bookmarkEnd w:id="82"/>
      <w:bookmarkEnd w:id="83"/>
      <w:bookmarkEnd w:id="84"/>
      <w:bookmarkEnd w:id="85"/>
      <w:bookmarkEnd w:id="86"/>
      <w:bookmarkEnd w:id="87"/>
      <w:bookmarkEnd w:id="88"/>
      <w:bookmarkEnd w:id="89"/>
    </w:p>
    <w:p>
      <w:pPr>
        <w:pStyle w:val="48"/>
        <w:spacing w:before="156" w:after="156"/>
      </w:pPr>
      <w:r>
        <w:rPr>
          <w:rFonts w:hint="eastAsia"/>
        </w:rPr>
        <w:t>一般要求</w:t>
      </w:r>
    </w:p>
    <w:p>
      <w:pPr>
        <w:pStyle w:val="115"/>
        <w:jc w:val="both"/>
      </w:pPr>
      <w:r>
        <w:rPr>
          <w:rFonts w:hint="eastAsia"/>
        </w:rPr>
        <w:t>空分装置设备冷却不应采用直流冷却水系统，宜采用开式循环冷却水系统，在水资源匮乏及水质处理难度较大的情况下可采用闭式循环冷却水系统。</w:t>
      </w:r>
    </w:p>
    <w:p>
      <w:pPr>
        <w:pStyle w:val="115"/>
        <w:jc w:val="both"/>
      </w:pPr>
      <w:r>
        <w:rPr>
          <w:rFonts w:hint="eastAsia"/>
        </w:rPr>
        <w:t>空分装置循环水系统不宜与其它工艺装置共用。</w:t>
      </w:r>
    </w:p>
    <w:p>
      <w:pPr>
        <w:pStyle w:val="115"/>
        <w:jc w:val="both"/>
      </w:pPr>
      <w:r>
        <w:rPr>
          <w:rFonts w:hint="eastAsia"/>
        </w:rPr>
        <w:t>循环冷却水水质指标应符合GB/T 50050-2017中3.1.8、3.1.9和3.1.13条的规定。</w:t>
      </w:r>
    </w:p>
    <w:p>
      <w:pPr>
        <w:pStyle w:val="115"/>
        <w:jc w:val="both"/>
      </w:pPr>
      <w:r>
        <w:rPr>
          <w:rFonts w:hint="eastAsia"/>
        </w:rPr>
        <w:t>使用再生水做为循环水补充水时，水质指标应符合GB/T 50050-2017中表6.1.3的规定。当开式循环冷却水系统换热器为铜合金材质时，循环冷却水系统水的氨、氮指标应小于1mg/L。必要时也可对再生水进行补充处理，或与新鲜水混合使用。</w:t>
      </w:r>
    </w:p>
    <w:p>
      <w:pPr>
        <w:pStyle w:val="115"/>
        <w:jc w:val="both"/>
      </w:pPr>
      <w:r>
        <w:rPr>
          <w:rFonts w:hint="eastAsia"/>
        </w:rPr>
        <w:t xml:space="preserve">当再生水用做工业冷却时，循环冷却水系统监测管理应符合GB/T 50050的规定。 </w:t>
      </w:r>
    </w:p>
    <w:p>
      <w:pPr>
        <w:pStyle w:val="48"/>
        <w:spacing w:before="156" w:after="156"/>
      </w:pPr>
      <w:r>
        <w:rPr>
          <w:rFonts w:hint="eastAsia"/>
        </w:rPr>
        <w:t>系统设计</w:t>
      </w:r>
    </w:p>
    <w:p>
      <w:pPr>
        <w:pStyle w:val="115"/>
      </w:pPr>
      <w:r>
        <w:rPr>
          <w:rFonts w:hint="eastAsia"/>
        </w:rPr>
        <w:t>循环水泵出口处应设排气阀，当出口管径不小于DN450时宜采用多功能水力阀，多功能水力阀应设置支墩进行支护。</w:t>
      </w:r>
    </w:p>
    <w:p>
      <w:pPr>
        <w:pStyle w:val="115"/>
      </w:pPr>
      <w:r>
        <w:rPr>
          <w:rFonts w:hint="eastAsia"/>
        </w:rPr>
        <w:t>严寒地区的冷却塔及室外循环水管、阀应有防冻措施。</w:t>
      </w:r>
    </w:p>
    <w:p>
      <w:pPr>
        <w:pStyle w:val="115"/>
      </w:pPr>
      <w:r>
        <w:rPr>
          <w:rFonts w:hint="eastAsia"/>
        </w:rPr>
        <w:t>循环水管的低点宜设置泄水阀，凸点宜设置排气阀。</w:t>
      </w:r>
    </w:p>
    <w:p>
      <w:pPr>
        <w:pStyle w:val="115"/>
      </w:pPr>
      <w:r>
        <w:rPr>
          <w:rFonts w:hint="eastAsia"/>
        </w:rPr>
        <w:t>开式循环冷却水系统换热设备的控制条件和指标应符合下列规定：</w:t>
      </w:r>
    </w:p>
    <w:p>
      <w:pPr>
        <w:pStyle w:val="61"/>
        <w:widowControl w:val="0"/>
        <w:numPr>
          <w:ilvl w:val="0"/>
          <w:numId w:val="19"/>
        </w:numPr>
      </w:pPr>
      <w:r>
        <w:rPr>
          <w:rFonts w:hint="eastAsia"/>
        </w:rPr>
        <w:t>循环冷却水管程流速不宜小于0.9m/s；</w:t>
      </w:r>
    </w:p>
    <w:p>
      <w:pPr>
        <w:pStyle w:val="61"/>
        <w:widowControl w:val="0"/>
        <w:numPr>
          <w:ilvl w:val="0"/>
          <w:numId w:val="19"/>
        </w:numPr>
      </w:pPr>
      <w:r>
        <w:rPr>
          <w:rFonts w:hint="eastAsia"/>
        </w:rPr>
        <w:t>当循环冷却水壳程流速小于0.3m/s时，应采取防腐涂料层、反冲洗、或空气扰动等措施；</w:t>
      </w:r>
    </w:p>
    <w:p>
      <w:pPr>
        <w:pStyle w:val="61"/>
        <w:widowControl w:val="0"/>
        <w:numPr>
          <w:ilvl w:val="0"/>
          <w:numId w:val="19"/>
        </w:numPr>
      </w:pPr>
      <w:r>
        <w:rPr>
          <w:rFonts w:hint="eastAsia"/>
        </w:rPr>
        <w:t>设备传热面水侧污垢热阻值应小于3.44×10</w:t>
      </w:r>
      <w:r>
        <w:rPr>
          <w:rFonts w:hint="eastAsia"/>
          <w:vertAlign w:val="superscript"/>
        </w:rPr>
        <w:t>-4</w:t>
      </w:r>
      <w:r>
        <w:rPr>
          <w:rFonts w:hint="eastAsia"/>
        </w:rPr>
        <w:t>m</w:t>
      </w:r>
      <w:r>
        <w:rPr>
          <w:rFonts w:hint="eastAsia"/>
          <w:vertAlign w:val="superscript"/>
        </w:rPr>
        <w:t>2</w:t>
      </w:r>
      <w:r>
        <w:rPr>
          <w:rFonts w:hint="eastAsia"/>
        </w:rPr>
        <w:t>•K/W；</w:t>
      </w:r>
    </w:p>
    <w:p>
      <w:pPr>
        <w:pStyle w:val="61"/>
        <w:widowControl w:val="0"/>
        <w:numPr>
          <w:ilvl w:val="0"/>
          <w:numId w:val="19"/>
        </w:numPr>
      </w:pPr>
      <w:r>
        <w:rPr>
          <w:rFonts w:hint="eastAsia"/>
        </w:rPr>
        <w:t>设备传热面水侧粘附速率不应大于15mg/cm</w:t>
      </w:r>
      <w:r>
        <w:rPr>
          <w:rFonts w:hint="eastAsia"/>
          <w:vertAlign w:val="superscript"/>
        </w:rPr>
        <w:t>2</w:t>
      </w:r>
      <w:r>
        <w:rPr>
          <w:rFonts w:hint="eastAsia"/>
        </w:rPr>
        <w:t>•月；</w:t>
      </w:r>
    </w:p>
    <w:p>
      <w:pPr>
        <w:pStyle w:val="61"/>
        <w:widowControl w:val="0"/>
        <w:numPr>
          <w:ilvl w:val="0"/>
          <w:numId w:val="19"/>
        </w:numPr>
      </w:pPr>
      <w:r>
        <w:rPr>
          <w:rFonts w:hint="eastAsia"/>
        </w:rPr>
        <w:t>碳钢设备传热面水侧腐蚀速率不应大于0.075mm/a，铜合金和不锈钢设备传热面水侧腐蚀速率不应大于0.005mm/a。</w:t>
      </w:r>
    </w:p>
    <w:p>
      <w:pPr>
        <w:pStyle w:val="115"/>
      </w:pPr>
      <w:r>
        <w:rPr>
          <w:rFonts w:hint="eastAsia"/>
        </w:rPr>
        <w:t>闭式循环冷却水系统设备传热面水侧污垢热阻值应小于0.86×10</w:t>
      </w:r>
      <w:r>
        <w:rPr>
          <w:rFonts w:hint="eastAsia"/>
          <w:vertAlign w:val="superscript"/>
        </w:rPr>
        <w:t>-4</w:t>
      </w:r>
      <w:r>
        <w:rPr>
          <w:rFonts w:hint="eastAsia"/>
        </w:rPr>
        <w:t>m</w:t>
      </w:r>
      <w:r>
        <w:rPr>
          <w:rFonts w:hint="eastAsia"/>
          <w:vertAlign w:val="superscript"/>
        </w:rPr>
        <w:t>2</w:t>
      </w:r>
      <w:r>
        <w:rPr>
          <w:rFonts w:hint="eastAsia" w:cs="微软雅黑"/>
        </w:rPr>
        <w:t>•</w:t>
      </w:r>
      <w:r>
        <w:rPr>
          <w:rFonts w:hint="eastAsia"/>
        </w:rPr>
        <w:t>K/W，腐蚀速率应符合</w:t>
      </w:r>
      <w:r>
        <w:t>4</w:t>
      </w:r>
      <w:r>
        <w:rPr>
          <w:rFonts w:hint="eastAsia"/>
        </w:rPr>
        <w:t>.</w:t>
      </w:r>
      <w:r>
        <w:t>3</w:t>
      </w:r>
      <w:r>
        <w:rPr>
          <w:rFonts w:hint="eastAsia"/>
        </w:rPr>
        <w:t>.</w:t>
      </w:r>
      <w:r>
        <w:t>2.4</w:t>
      </w:r>
      <w:r>
        <w:rPr>
          <w:rFonts w:hint="eastAsia"/>
        </w:rPr>
        <w:t>条e）的规定。</w:t>
      </w:r>
    </w:p>
    <w:p>
      <w:pPr>
        <w:pStyle w:val="44"/>
        <w:widowControl w:val="0"/>
        <w:spacing w:before="156" w:after="156"/>
      </w:pPr>
      <w:r>
        <w:rPr>
          <w:rFonts w:hint="eastAsia"/>
        </w:rPr>
        <w:t>空分工程设计的基本要求</w:t>
      </w:r>
    </w:p>
    <w:p>
      <w:pPr>
        <w:pStyle w:val="65"/>
        <w:widowControl w:val="0"/>
        <w:jc w:val="both"/>
      </w:pPr>
      <w:r>
        <w:rPr>
          <w:rFonts w:hint="eastAsia"/>
        </w:rPr>
        <w:t>多套空分装置的总控制室宜独立设置。装置内的控制室、机柜间面向空分冷箱、液氧储槽的外墙应为无门窗洞口、耐火极限不低于3h的不燃烧材料实体墙。</w:t>
      </w:r>
    </w:p>
    <w:p>
      <w:pPr>
        <w:pStyle w:val="65"/>
        <w:widowControl w:val="0"/>
        <w:jc w:val="both"/>
      </w:pPr>
      <w:r>
        <w:rPr>
          <w:rFonts w:hint="eastAsia"/>
        </w:rPr>
        <w:t>氧气及惰性气体的管道不宜穿过不使用该气体的房间，无法避开时，应采取可靠的防止气体泄漏的措施，禁止穿过生活间、办公室、控制室。</w:t>
      </w:r>
    </w:p>
    <w:p>
      <w:pPr>
        <w:pStyle w:val="65"/>
        <w:widowControl w:val="0"/>
        <w:jc w:val="both"/>
      </w:pPr>
      <w:r>
        <w:rPr>
          <w:rFonts w:hint="eastAsia"/>
        </w:rPr>
        <w:t>与氧气有关的管线、仪表、阀门应无油脂，氧气介质阀门应采用专用氧气阀门。</w:t>
      </w:r>
    </w:p>
    <w:p>
      <w:pPr>
        <w:pStyle w:val="65"/>
        <w:widowControl w:val="0"/>
        <w:jc w:val="both"/>
      </w:pPr>
      <w:r>
        <w:rPr>
          <w:rFonts w:hint="eastAsia"/>
        </w:rPr>
        <w:t>氧气、惰性气体（液体）的在线分析仪器不应安装在控制室或化验室内。</w:t>
      </w:r>
    </w:p>
    <w:p>
      <w:pPr>
        <w:pStyle w:val="65"/>
        <w:widowControl w:val="0"/>
        <w:jc w:val="both"/>
      </w:pPr>
      <w:r>
        <w:rPr>
          <w:rFonts w:hint="eastAsia"/>
        </w:rPr>
        <w:t>离心式氧压机和液氧储配系统的多级离心液氧泵应设防护墙（罩）与周围隔离。电气开关应安装在墙外。多级离心工艺液氧泵应设置独立液氧泵箱或其它安全防护措施。</w:t>
      </w:r>
    </w:p>
    <w:p>
      <w:pPr>
        <w:pStyle w:val="65"/>
        <w:widowControl w:val="0"/>
        <w:jc w:val="both"/>
      </w:pPr>
      <w:r>
        <w:rPr>
          <w:rFonts w:hint="eastAsia"/>
        </w:rPr>
        <w:t>氧气压缩间、氧气储罐间等有火灾、爆炸风险的建筑，其灭火器配置及其位置应符合GB 50140的有关规定。</w:t>
      </w:r>
    </w:p>
    <w:p>
      <w:pPr>
        <w:pStyle w:val="65"/>
        <w:widowControl w:val="0"/>
        <w:jc w:val="both"/>
      </w:pPr>
      <w:r>
        <w:rPr>
          <w:rFonts w:hint="eastAsia"/>
        </w:rPr>
        <w:t>中、高压氧气调节阀、氧气送出阀应设置防护墙。送氧时操作人员应在防护墙外操作。</w:t>
      </w:r>
    </w:p>
    <w:p>
      <w:pPr>
        <w:pStyle w:val="65"/>
        <w:widowControl w:val="0"/>
        <w:jc w:val="both"/>
      </w:pPr>
      <w:r>
        <w:rPr>
          <w:rFonts w:hint="eastAsia"/>
        </w:rPr>
        <w:t>氧气、惰性气体的放散管应引至室外安全处。氧气应在高出周围平台、道路、楼梯等操作面4m以上无明火场所进行放散，氧气、氮气、氩气放散管口距地面不应低于4.5m，放散管口应有防雨雪侵入和杂物堵塞的措施。</w:t>
      </w:r>
    </w:p>
    <w:p>
      <w:pPr>
        <w:pStyle w:val="65"/>
        <w:widowControl w:val="0"/>
        <w:jc w:val="both"/>
      </w:pPr>
      <w:r>
        <w:rPr>
          <w:rFonts w:hint="eastAsia"/>
        </w:rPr>
        <w:t>氧气管道的管径和管道、管件材料选用及敷设应符合</w:t>
      </w:r>
      <w:r>
        <w:t>GB 16912</w:t>
      </w:r>
      <w:r>
        <w:rPr>
          <w:rFonts w:hint="eastAsia"/>
        </w:rPr>
        <w:t>、G</w:t>
      </w:r>
      <w:r>
        <w:t>B 50030</w:t>
      </w:r>
      <w:r>
        <w:rPr>
          <w:rFonts w:hint="eastAsia"/>
        </w:rPr>
        <w:t>的规定。</w:t>
      </w:r>
    </w:p>
    <w:p>
      <w:pPr>
        <w:pStyle w:val="65"/>
        <w:widowControl w:val="0"/>
        <w:jc w:val="both"/>
      </w:pPr>
      <w:r>
        <w:rPr>
          <w:rFonts w:hint="eastAsia"/>
        </w:rPr>
        <w:t>空分装置中的压力容器应符合TSG 21及其他有关规定。</w:t>
      </w:r>
    </w:p>
    <w:p>
      <w:pPr>
        <w:pStyle w:val="65"/>
        <w:widowControl w:val="0"/>
        <w:jc w:val="both"/>
      </w:pPr>
      <w:r>
        <w:rPr>
          <w:rFonts w:hint="eastAsia"/>
        </w:rPr>
        <w:t>氧气、惰性气体房间的正常生产通风换气次数每小时不应少于3次，事故通风装置换气次数每小时不应少于</w:t>
      </w:r>
      <w:r>
        <w:t>12</w:t>
      </w:r>
      <w:r>
        <w:rPr>
          <w:rFonts w:hint="eastAsia"/>
        </w:rPr>
        <w:t>次，并应与气体浓度检测装置联锁。</w:t>
      </w:r>
    </w:p>
    <w:p>
      <w:pPr>
        <w:pStyle w:val="65"/>
        <w:widowControl w:val="0"/>
        <w:jc w:val="both"/>
      </w:pPr>
      <w:r>
        <w:rPr>
          <w:rFonts w:hint="eastAsia"/>
        </w:rPr>
        <w:t>电缆接头及电缆沟内的非阻燃电缆应涂阻火涂料。电缆沟不应与其他管沟相通，并应通风良好。</w:t>
      </w:r>
    </w:p>
    <w:p>
      <w:pPr>
        <w:pStyle w:val="65"/>
        <w:widowControl w:val="0"/>
        <w:jc w:val="both"/>
      </w:pPr>
      <w:r>
        <w:rPr>
          <w:rFonts w:hint="eastAsia"/>
        </w:rPr>
        <w:t>空分塔器、冷箱、储罐等应有防雷、防静电接地措施。氧气管道应有防静电接地装置，接地电阻每年应至少进行一次定期检测。</w:t>
      </w:r>
    </w:p>
    <w:p>
      <w:pPr>
        <w:pStyle w:val="65"/>
        <w:widowControl w:val="0"/>
        <w:jc w:val="both"/>
      </w:pPr>
      <w:r>
        <w:rPr>
          <w:rFonts w:hint="eastAsia"/>
        </w:rPr>
        <w:t>低温气体或液体管道系统不宜使用阀门井或管沟。</w:t>
      </w:r>
    </w:p>
    <w:p>
      <w:pPr>
        <w:pStyle w:val="65"/>
        <w:widowControl w:val="0"/>
        <w:jc w:val="both"/>
      </w:pPr>
      <w:r>
        <w:rPr>
          <w:rFonts w:hint="eastAsia"/>
        </w:rPr>
        <w:t>空分装置厂区内应设置消防车通道，消防车通道应符合下列规定：</w:t>
      </w:r>
    </w:p>
    <w:p>
      <w:pPr>
        <w:pStyle w:val="50"/>
        <w:numPr>
          <w:ilvl w:val="0"/>
          <w:numId w:val="20"/>
        </w:numPr>
      </w:pPr>
      <w:r>
        <w:rPr>
          <w:rFonts w:hint="eastAsia"/>
        </w:rPr>
        <w:t>消防通道应设计为环形，相互贯通。消防车道的宽度不应小于4m，路面上的净空高度不应小于4.5m；</w:t>
      </w:r>
    </w:p>
    <w:p>
      <w:pPr>
        <w:pStyle w:val="50"/>
        <w:numPr>
          <w:ilvl w:val="0"/>
          <w:numId w:val="20"/>
        </w:numPr>
      </w:pPr>
      <w:r>
        <w:rPr>
          <w:rFonts w:hint="eastAsia"/>
        </w:rPr>
        <w:t>当装置宽度不大于60m，且装置外两侧设有消防车道时，可不设贯通式道路。</w:t>
      </w:r>
    </w:p>
    <w:p>
      <w:pPr>
        <w:pStyle w:val="65"/>
        <w:widowControl w:val="0"/>
      </w:pPr>
      <w:r>
        <w:rPr>
          <w:rFonts w:hint="eastAsia"/>
        </w:rPr>
        <w:t>空分装置厂区内应按照装置设备、工艺环境的要求配备相适应的消防设施。</w:t>
      </w:r>
    </w:p>
    <w:p>
      <w:pPr>
        <w:pStyle w:val="65"/>
        <w:widowControl w:val="0"/>
      </w:pPr>
      <w:r>
        <w:rPr>
          <w:rFonts w:hint="eastAsia"/>
        </w:rPr>
        <w:t>在寒冷地区，应对空冷塔、水冷塔、水泵、冷水机组和室外仪器仪表、检测元器件等采取防冻措施。</w:t>
      </w:r>
    </w:p>
    <w:p>
      <w:pPr>
        <w:pStyle w:val="47"/>
        <w:widowControl w:val="0"/>
        <w:spacing w:before="312" w:after="312"/>
      </w:pPr>
      <w:bookmarkStart w:id="90" w:name="_Toc45627591"/>
      <w:bookmarkStart w:id="91" w:name="_Toc51244021"/>
      <w:bookmarkStart w:id="92" w:name="_Toc43218318"/>
      <w:bookmarkStart w:id="93" w:name="_Toc43215134"/>
      <w:bookmarkStart w:id="94" w:name="_Toc43218590"/>
      <w:bookmarkStart w:id="95" w:name="_Toc44336245"/>
      <w:bookmarkStart w:id="96" w:name="_Toc46239382"/>
      <w:bookmarkStart w:id="97" w:name="_Toc44335664"/>
      <w:bookmarkStart w:id="98" w:name="_Toc44335567"/>
      <w:bookmarkStart w:id="99" w:name="_Toc54355456"/>
      <w:bookmarkStart w:id="100" w:name="_Toc54446521"/>
      <w:bookmarkStart w:id="101" w:name="_Toc54434955"/>
      <w:bookmarkStart w:id="102" w:name="_Toc54447474"/>
      <w:r>
        <w:rPr>
          <w:rFonts w:hint="eastAsia"/>
        </w:rPr>
        <w:t>吸入空气</w:t>
      </w:r>
      <w:bookmarkEnd w:id="90"/>
      <w:bookmarkEnd w:id="91"/>
      <w:bookmarkEnd w:id="92"/>
      <w:bookmarkEnd w:id="93"/>
      <w:bookmarkEnd w:id="94"/>
      <w:bookmarkEnd w:id="95"/>
      <w:bookmarkEnd w:id="96"/>
      <w:bookmarkEnd w:id="97"/>
      <w:bookmarkEnd w:id="98"/>
      <w:r>
        <w:rPr>
          <w:rFonts w:hint="eastAsia"/>
        </w:rPr>
        <w:t>污染物与清除净化</w:t>
      </w:r>
      <w:bookmarkEnd w:id="99"/>
      <w:bookmarkEnd w:id="100"/>
      <w:bookmarkEnd w:id="101"/>
      <w:bookmarkEnd w:id="102"/>
    </w:p>
    <w:p>
      <w:pPr>
        <w:pStyle w:val="44"/>
        <w:widowControl w:val="0"/>
        <w:spacing w:before="156" w:after="156"/>
      </w:pPr>
      <w:r>
        <w:rPr>
          <w:rFonts w:hint="eastAsia"/>
        </w:rPr>
        <w:t>污染物</w:t>
      </w:r>
    </w:p>
    <w:p>
      <w:pPr>
        <w:pStyle w:val="65"/>
        <w:widowControl w:val="0"/>
        <w:jc w:val="both"/>
      </w:pPr>
      <w:r>
        <w:rPr>
          <w:rFonts w:hint="eastAsia"/>
        </w:rPr>
        <w:t>空气中对空分装置安全运行构成威胁的污染物按类别分为3类：反应性污染物、堵塞性污染物、腐蚀性污染物。</w:t>
      </w:r>
    </w:p>
    <w:p>
      <w:pPr>
        <w:pStyle w:val="115"/>
        <w:widowControl w:val="0"/>
        <w:jc w:val="both"/>
      </w:pPr>
      <w:r>
        <w:rPr>
          <w:rFonts w:hint="eastAsia"/>
        </w:rPr>
        <w:t>反应性污染物是指可能在空分装置中浓缩并与氧或富氧空气形成易燃性混合物，引起燃烧或爆炸的污染物，主要包括甲烷（CH</w:t>
      </w:r>
      <w:r>
        <w:rPr>
          <w:rFonts w:hint="eastAsia"/>
          <w:vertAlign w:val="subscript"/>
        </w:rPr>
        <w:t>4</w:t>
      </w:r>
      <w:r>
        <w:rPr>
          <w:rFonts w:hint="eastAsia"/>
        </w:rPr>
        <w:t>）、乙烷（C</w:t>
      </w:r>
      <w:r>
        <w:rPr>
          <w:rFonts w:hint="eastAsia"/>
          <w:vertAlign w:val="subscript"/>
        </w:rPr>
        <w:t>2</w:t>
      </w:r>
      <w:r>
        <w:rPr>
          <w:rFonts w:hint="eastAsia"/>
        </w:rPr>
        <w:t>H</w:t>
      </w:r>
      <w:r>
        <w:rPr>
          <w:rFonts w:hint="eastAsia"/>
          <w:vertAlign w:val="subscript"/>
        </w:rPr>
        <w:t>6</w:t>
      </w:r>
      <w:r>
        <w:rPr>
          <w:rFonts w:hint="eastAsia"/>
        </w:rPr>
        <w:t>）、乙烯（C</w:t>
      </w:r>
      <w:r>
        <w:rPr>
          <w:rFonts w:hint="eastAsia"/>
          <w:vertAlign w:val="subscript"/>
        </w:rPr>
        <w:t>2</w:t>
      </w:r>
      <w:r>
        <w:rPr>
          <w:rFonts w:hint="eastAsia"/>
        </w:rPr>
        <w:t>H</w:t>
      </w:r>
      <w:r>
        <w:rPr>
          <w:rFonts w:hint="eastAsia"/>
          <w:vertAlign w:val="subscript"/>
        </w:rPr>
        <w:t>4</w:t>
      </w:r>
      <w:r>
        <w:rPr>
          <w:rFonts w:hint="eastAsia"/>
        </w:rPr>
        <w:t>）、乙炔（C</w:t>
      </w:r>
      <w:r>
        <w:rPr>
          <w:rFonts w:hint="eastAsia"/>
          <w:vertAlign w:val="subscript"/>
        </w:rPr>
        <w:t>2</w:t>
      </w:r>
      <w:r>
        <w:rPr>
          <w:rFonts w:hint="eastAsia"/>
        </w:rPr>
        <w:t>H</w:t>
      </w:r>
      <w:r>
        <w:rPr>
          <w:rFonts w:hint="eastAsia"/>
          <w:vertAlign w:val="subscript"/>
        </w:rPr>
        <w:t>2</w:t>
      </w:r>
      <w:r>
        <w:rPr>
          <w:rFonts w:hint="eastAsia"/>
        </w:rPr>
        <w:t>）、丙烷（C</w:t>
      </w:r>
      <w:r>
        <w:rPr>
          <w:rFonts w:hint="eastAsia"/>
          <w:vertAlign w:val="subscript"/>
        </w:rPr>
        <w:t>3</w:t>
      </w:r>
      <w:r>
        <w:rPr>
          <w:rFonts w:hint="eastAsia"/>
        </w:rPr>
        <w:t>H</w:t>
      </w:r>
      <w:r>
        <w:rPr>
          <w:rFonts w:hint="eastAsia"/>
          <w:vertAlign w:val="subscript"/>
        </w:rPr>
        <w:t>8</w:t>
      </w:r>
      <w:r>
        <w:rPr>
          <w:rFonts w:hint="eastAsia"/>
        </w:rPr>
        <w:t>）、丙烯（C</w:t>
      </w:r>
      <w:r>
        <w:rPr>
          <w:rFonts w:hint="eastAsia"/>
          <w:vertAlign w:val="subscript"/>
        </w:rPr>
        <w:t>3</w:t>
      </w:r>
      <w:r>
        <w:rPr>
          <w:rFonts w:hint="eastAsia"/>
        </w:rPr>
        <w:t>H</w:t>
      </w:r>
      <w:r>
        <w:rPr>
          <w:rFonts w:hint="eastAsia"/>
          <w:vertAlign w:val="subscript"/>
        </w:rPr>
        <w:t>6</w:t>
      </w:r>
      <w:r>
        <w:rPr>
          <w:rFonts w:hint="eastAsia"/>
        </w:rPr>
        <w:t>）等碳氢化合物及臭氧（O</w:t>
      </w:r>
      <w:r>
        <w:rPr>
          <w:rFonts w:hint="eastAsia"/>
          <w:vertAlign w:val="subscript"/>
        </w:rPr>
        <w:t>3</w:t>
      </w:r>
      <w:r>
        <w:rPr>
          <w:rFonts w:hint="eastAsia"/>
        </w:rPr>
        <w:t>）。</w:t>
      </w:r>
    </w:p>
    <w:p>
      <w:pPr>
        <w:pStyle w:val="115"/>
        <w:widowControl w:val="0"/>
        <w:jc w:val="both"/>
      </w:pPr>
      <w:r>
        <w:rPr>
          <w:rFonts w:hint="eastAsia"/>
        </w:rPr>
        <w:t>堵塞性污染物是指可能在空分装置中浓缩进而析出固体的污染物。固体的析出将造成流通通道堵塞，导致干沸腾或池内沸腾，进而引起反应性污染物的浓缩，与氧或富氧空气形成易燃混合物。除空气中悬浮的颗粒物杂质（一般通过过滤和水洗清除）外，堵塞性污染物主要包括水分（H</w:t>
      </w:r>
      <w:r>
        <w:rPr>
          <w:rFonts w:hint="eastAsia"/>
          <w:vertAlign w:val="subscript"/>
        </w:rPr>
        <w:t>2</w:t>
      </w:r>
      <w:r>
        <w:rPr>
          <w:rFonts w:hint="eastAsia"/>
        </w:rPr>
        <w:t>O）、二氧化碳（CO</w:t>
      </w:r>
      <w:r>
        <w:rPr>
          <w:rFonts w:hint="eastAsia"/>
          <w:vertAlign w:val="subscript"/>
        </w:rPr>
        <w:t>2</w:t>
      </w:r>
      <w:r>
        <w:rPr>
          <w:rFonts w:hint="eastAsia"/>
        </w:rPr>
        <w:t>）和氧化亚氮（N</w:t>
      </w:r>
      <w:r>
        <w:rPr>
          <w:rFonts w:hint="eastAsia"/>
          <w:vertAlign w:val="subscript"/>
        </w:rPr>
        <w:t>2</w:t>
      </w:r>
      <w:r>
        <w:rPr>
          <w:rFonts w:hint="eastAsia"/>
        </w:rPr>
        <w:t>O）。</w:t>
      </w:r>
    </w:p>
    <w:p>
      <w:pPr>
        <w:pStyle w:val="115"/>
        <w:widowControl w:val="0"/>
        <w:jc w:val="both"/>
      </w:pPr>
      <w:r>
        <w:rPr>
          <w:rFonts w:hint="eastAsia"/>
        </w:rPr>
        <w:t>腐蚀性污染物是指可能使设备和管道发生腐蚀，使分子筛吸附剂中毒失效，引起运行故障，影响设备寿命的污染物，主要包括硫化氢（H</w:t>
      </w:r>
      <w:r>
        <w:rPr>
          <w:rFonts w:hint="eastAsia"/>
          <w:vertAlign w:val="subscript"/>
        </w:rPr>
        <w:t>2</w:t>
      </w:r>
      <w:r>
        <w:rPr>
          <w:rFonts w:hint="eastAsia"/>
        </w:rPr>
        <w:t>S）、二氧化硫（SO</w:t>
      </w:r>
      <w:r>
        <w:rPr>
          <w:rFonts w:hint="eastAsia"/>
          <w:vertAlign w:val="subscript"/>
        </w:rPr>
        <w:t>2</w:t>
      </w:r>
      <w:r>
        <w:rPr>
          <w:rFonts w:hint="eastAsia"/>
        </w:rPr>
        <w:t>）、三氧化硫（SO</w:t>
      </w:r>
      <w:r>
        <w:rPr>
          <w:rFonts w:hint="eastAsia"/>
          <w:vertAlign w:val="subscript"/>
        </w:rPr>
        <w:t>3</w:t>
      </w:r>
      <w:r>
        <w:rPr>
          <w:rFonts w:hint="eastAsia"/>
        </w:rPr>
        <w:t>）、氯化氢（HCl）、氯气（Cl</w:t>
      </w:r>
      <w:r>
        <w:rPr>
          <w:rFonts w:hint="eastAsia"/>
          <w:vertAlign w:val="subscript"/>
        </w:rPr>
        <w:t>2</w:t>
      </w:r>
      <w:r>
        <w:rPr>
          <w:rFonts w:hint="eastAsia"/>
        </w:rPr>
        <w:t>）、氨（NH</w:t>
      </w:r>
      <w:r>
        <w:rPr>
          <w:rFonts w:hint="eastAsia"/>
          <w:vertAlign w:val="subscript"/>
        </w:rPr>
        <w:t>3</w:t>
      </w:r>
      <w:r>
        <w:rPr>
          <w:rFonts w:hint="eastAsia"/>
        </w:rPr>
        <w:t>）。</w:t>
      </w:r>
    </w:p>
    <w:p>
      <w:pPr>
        <w:pStyle w:val="65"/>
        <w:widowControl w:val="0"/>
        <w:jc w:val="both"/>
      </w:pPr>
      <w:r>
        <w:rPr>
          <w:rFonts w:hint="eastAsia"/>
        </w:rPr>
        <w:t>氮氧化物（NO、NO</w:t>
      </w:r>
      <w:r>
        <w:rPr>
          <w:rFonts w:hint="eastAsia"/>
          <w:vertAlign w:val="subscript"/>
        </w:rPr>
        <w:t>2</w:t>
      </w:r>
      <w:r>
        <w:rPr>
          <w:rFonts w:hint="eastAsia"/>
        </w:rPr>
        <w:t>）从导致的结果看，既有反应性，又有堵塞性和腐蚀性。氮氧化物可与其他物质（如不饱和二烯烃）继续反应表现出它的反应性；反应后生成物三氧化氮（NO</w:t>
      </w:r>
      <w:r>
        <w:rPr>
          <w:rFonts w:hint="eastAsia"/>
          <w:vertAlign w:val="subscript"/>
        </w:rPr>
        <w:t>3</w:t>
      </w:r>
      <w:r>
        <w:rPr>
          <w:rFonts w:hint="eastAsia"/>
        </w:rPr>
        <w:t>）、四氧化二氮（N</w:t>
      </w:r>
      <w:r>
        <w:rPr>
          <w:rFonts w:hint="eastAsia"/>
          <w:vertAlign w:val="subscript"/>
        </w:rPr>
        <w:t>2</w:t>
      </w:r>
      <w:r>
        <w:rPr>
          <w:rFonts w:hint="eastAsia"/>
        </w:rPr>
        <w:t>O</w:t>
      </w:r>
      <w:r>
        <w:rPr>
          <w:rFonts w:hint="eastAsia"/>
          <w:vertAlign w:val="subscript"/>
        </w:rPr>
        <w:t>4</w:t>
      </w:r>
      <w:r>
        <w:rPr>
          <w:rFonts w:hint="eastAsia"/>
        </w:rPr>
        <w:t>）、五氧化二氮（N</w:t>
      </w:r>
      <w:r>
        <w:rPr>
          <w:rFonts w:hint="eastAsia"/>
          <w:vertAlign w:val="subscript"/>
        </w:rPr>
        <w:t>2</w:t>
      </w:r>
      <w:r>
        <w:rPr>
          <w:rFonts w:hint="eastAsia"/>
        </w:rPr>
        <w:t>O</w:t>
      </w:r>
      <w:r>
        <w:rPr>
          <w:rFonts w:hint="eastAsia"/>
          <w:vertAlign w:val="subscript"/>
        </w:rPr>
        <w:t>5</w:t>
      </w:r>
      <w:r>
        <w:rPr>
          <w:rFonts w:hint="eastAsia"/>
        </w:rPr>
        <w:t>）等产生沉淀并堵塞设备，表现出它的堵塞性；反应后生成物遇水生成硝酸进而腐蚀设备，表现出它的腐蚀性。</w:t>
      </w:r>
    </w:p>
    <w:p>
      <w:pPr>
        <w:pStyle w:val="65"/>
        <w:widowControl w:val="0"/>
        <w:jc w:val="both"/>
      </w:pPr>
      <w:r>
        <w:rPr>
          <w:rFonts w:hint="eastAsia"/>
        </w:rPr>
        <w:t>多种对空分装置安全运行构成威胁聚集的污染物，即为空分装置原料空气的污染源。在吸入口处空气中污染物含量不应超过表5规定的极限含量。</w:t>
      </w:r>
    </w:p>
    <w:p>
      <w:pPr>
        <w:pStyle w:val="128"/>
        <w:widowControl w:val="0"/>
        <w:spacing w:before="156" w:after="156"/>
      </w:pPr>
      <w:r>
        <w:rPr>
          <w:rFonts w:hint="eastAsia"/>
        </w:rPr>
        <w:t>反应性污染物</w:t>
      </w:r>
    </w:p>
    <w:tbl>
      <w:tblPr>
        <w:tblStyle w:val="34"/>
        <w:tblW w:w="104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701"/>
        <w:gridCol w:w="2693"/>
        <w:gridCol w:w="1560"/>
        <w:gridCol w:w="1418"/>
        <w:gridCol w:w="1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8" w:space="0"/>
              <w:left w:val="single" w:color="auto" w:sz="8" w:space="0"/>
              <w:bottom w:val="single" w:color="auto" w:sz="8" w:space="0"/>
              <w:right w:val="single" w:color="auto" w:sz="4" w:space="0"/>
            </w:tcBorders>
            <w:vAlign w:val="center"/>
          </w:tcPr>
          <w:p>
            <w:pPr>
              <w:jc w:val="center"/>
              <w:rPr>
                <w:rFonts w:ascii="宋体"/>
                <w:sz w:val="18"/>
              </w:rPr>
            </w:pPr>
            <w:r>
              <w:rPr>
                <w:rFonts w:hint="eastAsia" w:ascii="宋体"/>
                <w:sz w:val="18"/>
              </w:rPr>
              <w:t>污染物的组成</w:t>
            </w:r>
          </w:p>
        </w:tc>
        <w:tc>
          <w:tcPr>
            <w:tcW w:w="1701" w:type="dxa"/>
            <w:tcBorders>
              <w:top w:val="single" w:color="auto" w:sz="8" w:space="0"/>
              <w:left w:val="single" w:color="auto" w:sz="4" w:space="0"/>
              <w:bottom w:val="single" w:color="auto" w:sz="8" w:space="0"/>
              <w:right w:val="single" w:color="auto" w:sz="8" w:space="0"/>
            </w:tcBorders>
            <w:vAlign w:val="center"/>
          </w:tcPr>
          <w:p>
            <w:pPr>
              <w:jc w:val="center"/>
              <w:rPr>
                <w:rFonts w:ascii="宋体"/>
                <w:sz w:val="18"/>
              </w:rPr>
            </w:pPr>
            <w:r>
              <w:rPr>
                <w:rFonts w:hint="eastAsia" w:ascii="宋体"/>
                <w:sz w:val="18"/>
              </w:rPr>
              <w:t>允许的极限含量</w:t>
            </w:r>
          </w:p>
          <w:p>
            <w:pPr>
              <w:jc w:val="center"/>
              <w:rPr>
                <w:rFonts w:ascii="宋体"/>
                <w:sz w:val="18"/>
              </w:rPr>
            </w:pPr>
            <w:r>
              <w:rPr>
                <w:rFonts w:hint="eastAsia" w:ascii="宋体"/>
                <w:sz w:val="18"/>
              </w:rPr>
              <w:t>（体积分数）</w:t>
            </w:r>
          </w:p>
          <w:p>
            <w:pPr>
              <w:jc w:val="center"/>
              <w:rPr>
                <w:rFonts w:ascii="宋体"/>
                <w:sz w:val="18"/>
              </w:rPr>
            </w:pPr>
            <w:r>
              <w:rPr>
                <w:rFonts w:hint="eastAsia" w:ascii="宋体"/>
                <w:sz w:val="18"/>
              </w:rPr>
              <w:t>ppm</w:t>
            </w:r>
          </w:p>
        </w:tc>
        <w:tc>
          <w:tcPr>
            <w:tcW w:w="2693"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腐蚀性污染物种类</w:t>
            </w:r>
          </w:p>
        </w:tc>
        <w:tc>
          <w:tcPr>
            <w:tcW w:w="1560"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允许的极限含量</w:t>
            </w:r>
          </w:p>
          <w:p>
            <w:pPr>
              <w:jc w:val="center"/>
              <w:rPr>
                <w:rFonts w:ascii="宋体"/>
                <w:sz w:val="18"/>
              </w:rPr>
            </w:pPr>
            <w:r>
              <w:rPr>
                <w:rFonts w:hint="eastAsia" w:ascii="宋体"/>
                <w:sz w:val="18"/>
              </w:rPr>
              <w:t>（体积分数）</w:t>
            </w:r>
          </w:p>
          <w:p>
            <w:pPr>
              <w:jc w:val="center"/>
              <w:rPr>
                <w:rFonts w:ascii="宋体"/>
                <w:sz w:val="18"/>
              </w:rPr>
            </w:pPr>
            <w:r>
              <w:rPr>
                <w:rFonts w:ascii="宋体"/>
                <w:sz w:val="18"/>
              </w:rPr>
              <w:t>ppm</w:t>
            </w:r>
          </w:p>
        </w:tc>
        <w:tc>
          <w:tcPr>
            <w:tcW w:w="1418"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堵塞性污染物种类</w:t>
            </w:r>
          </w:p>
        </w:tc>
        <w:tc>
          <w:tcPr>
            <w:tcW w:w="1558"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允许的极限含量</w:t>
            </w:r>
          </w:p>
          <w:p>
            <w:pPr>
              <w:jc w:val="center"/>
              <w:rPr>
                <w:rFonts w:ascii="宋体"/>
                <w:sz w:val="18"/>
              </w:rPr>
            </w:pPr>
            <w:r>
              <w:rPr>
                <w:rFonts w:hint="eastAsia" w:ascii="宋体"/>
                <w:sz w:val="18"/>
              </w:rPr>
              <w:t>（体积分数）</w:t>
            </w:r>
          </w:p>
          <w:p>
            <w:pPr>
              <w:jc w:val="center"/>
              <w:rPr>
                <w:rFonts w:ascii="宋体"/>
                <w:sz w:val="18"/>
              </w:rPr>
            </w:pPr>
            <w:r>
              <w:rPr>
                <w:rFonts w:ascii="宋体"/>
                <w:sz w:val="18"/>
              </w:rPr>
              <w:t>ppm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8"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乙炔(C</w:t>
            </w:r>
            <w:r>
              <w:rPr>
                <w:rFonts w:hint="eastAsia" w:ascii="宋体"/>
                <w:sz w:val="18"/>
                <w:vertAlign w:val="subscript"/>
              </w:rPr>
              <w:t>2</w:t>
            </w:r>
            <w:r>
              <w:rPr>
                <w:rFonts w:hint="eastAsia" w:ascii="宋体"/>
                <w:sz w:val="18"/>
              </w:rPr>
              <w:t>H</w:t>
            </w:r>
            <w:r>
              <w:rPr>
                <w:rFonts w:hint="eastAsia" w:ascii="宋体"/>
                <w:sz w:val="18"/>
                <w:vertAlign w:val="subscript"/>
              </w:rPr>
              <w:t>2</w:t>
            </w:r>
            <w:r>
              <w:rPr>
                <w:rFonts w:hint="eastAsia" w:ascii="宋体"/>
                <w:sz w:val="18"/>
              </w:rPr>
              <w:t>)</w:t>
            </w:r>
          </w:p>
        </w:tc>
        <w:tc>
          <w:tcPr>
            <w:tcW w:w="1701" w:type="dxa"/>
            <w:tcBorders>
              <w:top w:val="single" w:color="auto" w:sz="8"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0.5</w:t>
            </w:r>
          </w:p>
        </w:tc>
        <w:tc>
          <w:tcPr>
            <w:tcW w:w="2693" w:type="dxa"/>
            <w:tcBorders>
              <w:top w:val="single" w:color="auto" w:sz="8"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二氧化硫+三氧化硫(SO</w:t>
            </w:r>
            <w:r>
              <w:rPr>
                <w:rFonts w:hint="eastAsia" w:ascii="宋体"/>
                <w:sz w:val="18"/>
                <w:vertAlign w:val="subscript"/>
              </w:rPr>
              <w:t>2</w:t>
            </w:r>
            <w:r>
              <w:rPr>
                <w:rFonts w:hint="eastAsia" w:ascii="宋体"/>
                <w:sz w:val="18"/>
              </w:rPr>
              <w:t>+SO</w:t>
            </w:r>
            <w:r>
              <w:rPr>
                <w:rFonts w:hint="eastAsia" w:ascii="宋体"/>
                <w:sz w:val="18"/>
                <w:vertAlign w:val="subscript"/>
              </w:rPr>
              <w:t>3</w:t>
            </w:r>
            <w:r>
              <w:rPr>
                <w:rFonts w:hint="eastAsia" w:ascii="宋体"/>
                <w:sz w:val="18"/>
              </w:rPr>
              <w:t>)</w:t>
            </w:r>
          </w:p>
        </w:tc>
        <w:tc>
          <w:tcPr>
            <w:tcW w:w="1560" w:type="dxa"/>
            <w:tcBorders>
              <w:top w:val="single" w:color="auto" w:sz="8"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1</w:t>
            </w:r>
          </w:p>
        </w:tc>
        <w:tc>
          <w:tcPr>
            <w:tcW w:w="1418" w:type="dxa"/>
            <w:tcBorders>
              <w:top w:val="single" w:color="auto" w:sz="8"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二氧化碳(CO</w:t>
            </w:r>
            <w:r>
              <w:rPr>
                <w:rFonts w:hint="eastAsia" w:ascii="宋体"/>
                <w:sz w:val="18"/>
                <w:vertAlign w:val="subscript"/>
              </w:rPr>
              <w:t>2</w:t>
            </w:r>
            <w:r>
              <w:rPr>
                <w:rFonts w:hint="eastAsia" w:ascii="宋体"/>
                <w:sz w:val="18"/>
              </w:rPr>
              <w:t>)</w:t>
            </w:r>
          </w:p>
        </w:tc>
        <w:tc>
          <w:tcPr>
            <w:tcW w:w="1558" w:type="dxa"/>
            <w:tcBorders>
              <w:top w:val="single" w:color="auto" w:sz="8"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甲烷(CH</w:t>
            </w:r>
            <w:r>
              <w:rPr>
                <w:rFonts w:hint="eastAsia" w:ascii="宋体"/>
                <w:sz w:val="18"/>
                <w:vertAlign w:val="subscript"/>
              </w:rPr>
              <w:t>4</w:t>
            </w:r>
            <w:r>
              <w:rPr>
                <w:rFonts w:hint="eastAsia" w:ascii="宋体"/>
                <w:sz w:val="18"/>
              </w:rPr>
              <w:t>)</w:t>
            </w:r>
          </w:p>
        </w:tc>
        <w:tc>
          <w:tcPr>
            <w:tcW w:w="1701"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5</w:t>
            </w:r>
          </w:p>
        </w:tc>
        <w:tc>
          <w:tcPr>
            <w:tcW w:w="2693"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硫化氢(H</w:t>
            </w:r>
            <w:r>
              <w:rPr>
                <w:rFonts w:hint="eastAsia" w:ascii="宋体"/>
                <w:sz w:val="18"/>
                <w:vertAlign w:val="subscript"/>
              </w:rPr>
              <w:t>2</w:t>
            </w:r>
            <w:r>
              <w:rPr>
                <w:rFonts w:hint="eastAsia" w:ascii="宋体"/>
                <w:sz w:val="18"/>
              </w:rPr>
              <w:t>S)</w:t>
            </w:r>
          </w:p>
        </w:tc>
        <w:tc>
          <w:tcPr>
            <w:tcW w:w="1560"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0.1</w:t>
            </w:r>
          </w:p>
        </w:tc>
        <w:tc>
          <w:tcPr>
            <w:tcW w:w="1418" w:type="dxa"/>
            <w:tcBorders>
              <w:top w:val="single" w:color="auto" w:sz="4" w:space="0"/>
              <w:left w:val="single" w:color="auto" w:sz="8" w:space="0"/>
              <w:bottom w:val="single" w:color="auto" w:sz="8" w:space="0"/>
              <w:right w:val="single" w:color="auto" w:sz="4" w:space="0"/>
            </w:tcBorders>
          </w:tcPr>
          <w:p>
            <w:pPr>
              <w:jc w:val="center"/>
              <w:rPr>
                <w:rFonts w:ascii="宋体"/>
                <w:sz w:val="18"/>
              </w:rPr>
            </w:pPr>
            <w:r>
              <w:rPr>
                <w:rFonts w:hint="eastAsia" w:ascii="宋体"/>
                <w:sz w:val="18"/>
              </w:rPr>
              <w:t>氧化亚氮(N</w:t>
            </w:r>
            <w:r>
              <w:rPr>
                <w:rFonts w:hint="eastAsia" w:ascii="宋体"/>
                <w:sz w:val="18"/>
                <w:vertAlign w:val="subscript"/>
              </w:rPr>
              <w:t>2</w:t>
            </w:r>
            <w:r>
              <w:rPr>
                <w:rFonts w:hint="eastAsia" w:ascii="宋体"/>
                <w:sz w:val="18"/>
              </w:rPr>
              <w:t>O)</w:t>
            </w:r>
          </w:p>
        </w:tc>
        <w:tc>
          <w:tcPr>
            <w:tcW w:w="1558" w:type="dxa"/>
            <w:tcBorders>
              <w:top w:val="single" w:color="auto" w:sz="4"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乙烷(C</w:t>
            </w:r>
            <w:r>
              <w:rPr>
                <w:rFonts w:hint="eastAsia" w:ascii="宋体"/>
                <w:sz w:val="18"/>
                <w:vertAlign w:val="subscript"/>
              </w:rPr>
              <w:t>2</w:t>
            </w:r>
            <w:r>
              <w:rPr>
                <w:rFonts w:hint="eastAsia" w:ascii="宋体"/>
                <w:sz w:val="18"/>
              </w:rPr>
              <w:t>H</w:t>
            </w:r>
            <w:r>
              <w:rPr>
                <w:rFonts w:hint="eastAsia" w:ascii="宋体"/>
                <w:sz w:val="18"/>
                <w:vertAlign w:val="subscript"/>
              </w:rPr>
              <w:t>6</w:t>
            </w:r>
            <w:r>
              <w:rPr>
                <w:rFonts w:hint="eastAsia" w:ascii="宋体"/>
                <w:sz w:val="18"/>
              </w:rPr>
              <w:t>)</w:t>
            </w:r>
          </w:p>
        </w:tc>
        <w:tc>
          <w:tcPr>
            <w:tcW w:w="1701"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0.1</w:t>
            </w:r>
          </w:p>
        </w:tc>
        <w:tc>
          <w:tcPr>
            <w:tcW w:w="2693"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氨(NH</w:t>
            </w:r>
            <w:r>
              <w:rPr>
                <w:rFonts w:hint="eastAsia" w:ascii="宋体"/>
                <w:sz w:val="18"/>
                <w:vertAlign w:val="subscript"/>
              </w:rPr>
              <w:t>3</w:t>
            </w:r>
            <w:r>
              <w:rPr>
                <w:rFonts w:hint="eastAsia" w:ascii="宋体"/>
                <w:sz w:val="18"/>
              </w:rPr>
              <w:t>)</w:t>
            </w:r>
          </w:p>
        </w:tc>
        <w:tc>
          <w:tcPr>
            <w:tcW w:w="1560"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1</w:t>
            </w:r>
          </w:p>
        </w:tc>
        <w:tc>
          <w:tcPr>
            <w:tcW w:w="1418" w:type="dxa"/>
            <w:tcBorders>
              <w:top w:val="single" w:color="auto" w:sz="4" w:space="0"/>
              <w:left w:val="single" w:color="auto" w:sz="4" w:space="0"/>
              <w:bottom w:val="single" w:color="auto" w:sz="4" w:space="0"/>
              <w:right w:val="single" w:color="auto" w:sz="8" w:space="0"/>
            </w:tcBorders>
          </w:tcPr>
          <w:p>
            <w:pPr>
              <w:jc w:val="center"/>
              <w:rPr>
                <w:rFonts w:ascii="宋体"/>
                <w:sz w:val="18"/>
              </w:rPr>
            </w:pPr>
          </w:p>
        </w:tc>
        <w:tc>
          <w:tcPr>
            <w:tcW w:w="1558" w:type="dxa"/>
            <w:tcBorders>
              <w:top w:val="single" w:color="auto" w:sz="4" w:space="0"/>
              <w:left w:val="single" w:color="auto" w:sz="4" w:space="0"/>
              <w:bottom w:val="single" w:color="auto" w:sz="4" w:space="0"/>
              <w:right w:val="single" w:color="auto" w:sz="8" w:space="0"/>
            </w:tcBorders>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丙烷(C</w:t>
            </w:r>
            <w:r>
              <w:rPr>
                <w:rFonts w:hint="eastAsia" w:ascii="宋体"/>
                <w:sz w:val="18"/>
                <w:vertAlign w:val="subscript"/>
              </w:rPr>
              <w:t>3</w:t>
            </w:r>
            <w:r>
              <w:rPr>
                <w:rFonts w:hint="eastAsia" w:ascii="宋体"/>
                <w:sz w:val="18"/>
              </w:rPr>
              <w:t>H</w:t>
            </w:r>
            <w:r>
              <w:rPr>
                <w:rFonts w:hint="eastAsia" w:ascii="宋体"/>
                <w:sz w:val="18"/>
                <w:vertAlign w:val="subscript"/>
              </w:rPr>
              <w:t>8</w:t>
            </w:r>
            <w:r>
              <w:rPr>
                <w:rFonts w:hint="eastAsia" w:ascii="宋体"/>
                <w:sz w:val="18"/>
              </w:rPr>
              <w:t>)</w:t>
            </w:r>
          </w:p>
        </w:tc>
        <w:tc>
          <w:tcPr>
            <w:tcW w:w="1701"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0.05</w:t>
            </w:r>
          </w:p>
        </w:tc>
        <w:tc>
          <w:tcPr>
            <w:tcW w:w="2693"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氯气(Cl</w:t>
            </w:r>
            <w:r>
              <w:rPr>
                <w:rFonts w:hint="eastAsia" w:ascii="宋体"/>
                <w:sz w:val="18"/>
                <w:vertAlign w:val="subscript"/>
              </w:rPr>
              <w:t>2</w:t>
            </w:r>
            <w:r>
              <w:rPr>
                <w:rFonts w:hint="eastAsia" w:ascii="宋体"/>
                <w:sz w:val="18"/>
              </w:rPr>
              <w:t>)</w:t>
            </w:r>
          </w:p>
        </w:tc>
        <w:tc>
          <w:tcPr>
            <w:tcW w:w="1560"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0.1</w:t>
            </w:r>
          </w:p>
        </w:tc>
        <w:tc>
          <w:tcPr>
            <w:tcW w:w="1418" w:type="dxa"/>
            <w:tcBorders>
              <w:top w:val="single" w:color="auto" w:sz="4" w:space="0"/>
              <w:left w:val="single" w:color="auto" w:sz="4" w:space="0"/>
              <w:bottom w:val="single" w:color="auto" w:sz="4" w:space="0"/>
              <w:right w:val="single" w:color="auto" w:sz="8" w:space="0"/>
            </w:tcBorders>
          </w:tcPr>
          <w:p>
            <w:pPr>
              <w:jc w:val="center"/>
              <w:rPr>
                <w:rFonts w:ascii="宋体"/>
                <w:sz w:val="18"/>
              </w:rPr>
            </w:pPr>
          </w:p>
        </w:tc>
        <w:tc>
          <w:tcPr>
            <w:tcW w:w="1558" w:type="dxa"/>
            <w:tcBorders>
              <w:top w:val="single" w:color="auto" w:sz="4" w:space="0"/>
              <w:left w:val="single" w:color="auto" w:sz="4" w:space="0"/>
              <w:bottom w:val="single" w:color="auto" w:sz="4" w:space="0"/>
              <w:right w:val="single" w:color="auto" w:sz="8" w:space="0"/>
            </w:tcBorders>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乙烯(C</w:t>
            </w:r>
            <w:r>
              <w:rPr>
                <w:rFonts w:hint="eastAsia" w:ascii="宋体"/>
                <w:sz w:val="18"/>
                <w:vertAlign w:val="subscript"/>
              </w:rPr>
              <w:t>2</w:t>
            </w:r>
            <w:r>
              <w:rPr>
                <w:rFonts w:hint="eastAsia" w:ascii="宋体"/>
                <w:sz w:val="18"/>
              </w:rPr>
              <w:t>H</w:t>
            </w:r>
            <w:r>
              <w:rPr>
                <w:rFonts w:hint="eastAsia" w:ascii="宋体"/>
                <w:sz w:val="18"/>
                <w:vertAlign w:val="subscript"/>
              </w:rPr>
              <w:t>4</w:t>
            </w:r>
            <w:r>
              <w:rPr>
                <w:rFonts w:hint="eastAsia" w:ascii="宋体"/>
                <w:sz w:val="18"/>
              </w:rPr>
              <w:t>)</w:t>
            </w:r>
          </w:p>
        </w:tc>
        <w:tc>
          <w:tcPr>
            <w:tcW w:w="1701"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0.1</w:t>
            </w:r>
          </w:p>
        </w:tc>
        <w:tc>
          <w:tcPr>
            <w:tcW w:w="2693" w:type="dxa"/>
            <w:tcBorders>
              <w:top w:val="single" w:color="auto" w:sz="4" w:space="0"/>
              <w:left w:val="single" w:color="auto" w:sz="8" w:space="0"/>
              <w:bottom w:val="single" w:color="auto" w:sz="4" w:space="0"/>
              <w:right w:val="single" w:color="auto" w:sz="4" w:space="0"/>
            </w:tcBorders>
          </w:tcPr>
          <w:p>
            <w:pPr>
              <w:jc w:val="center"/>
              <w:rPr>
                <w:rFonts w:ascii="宋体"/>
                <w:sz w:val="18"/>
              </w:rPr>
            </w:pPr>
            <w:r>
              <w:rPr>
                <w:rFonts w:hint="eastAsia" w:ascii="宋体"/>
                <w:sz w:val="18"/>
              </w:rPr>
              <w:t>氯化氢(HCl)</w:t>
            </w:r>
          </w:p>
        </w:tc>
        <w:tc>
          <w:tcPr>
            <w:tcW w:w="1560" w:type="dxa"/>
            <w:tcBorders>
              <w:top w:val="single" w:color="auto" w:sz="4" w:space="0"/>
              <w:left w:val="single" w:color="auto" w:sz="4" w:space="0"/>
              <w:bottom w:val="single" w:color="auto" w:sz="4" w:space="0"/>
              <w:right w:val="single" w:color="auto" w:sz="8" w:space="0"/>
            </w:tcBorders>
          </w:tcPr>
          <w:p>
            <w:pPr>
              <w:jc w:val="center"/>
              <w:rPr>
                <w:rFonts w:ascii="宋体"/>
                <w:sz w:val="18"/>
              </w:rPr>
            </w:pPr>
            <w:r>
              <w:rPr>
                <w:rFonts w:hint="eastAsia" w:ascii="宋体"/>
                <w:sz w:val="18"/>
              </w:rPr>
              <w:t>1</w:t>
            </w:r>
          </w:p>
        </w:tc>
        <w:tc>
          <w:tcPr>
            <w:tcW w:w="1418" w:type="dxa"/>
            <w:tcBorders>
              <w:top w:val="single" w:color="auto" w:sz="4" w:space="0"/>
              <w:left w:val="single" w:color="auto" w:sz="4" w:space="0"/>
              <w:bottom w:val="single" w:color="auto" w:sz="4" w:space="0"/>
              <w:right w:val="single" w:color="auto" w:sz="8" w:space="0"/>
            </w:tcBorders>
          </w:tcPr>
          <w:p>
            <w:pPr>
              <w:jc w:val="center"/>
              <w:rPr>
                <w:rFonts w:ascii="宋体"/>
                <w:sz w:val="18"/>
              </w:rPr>
            </w:pPr>
          </w:p>
        </w:tc>
        <w:tc>
          <w:tcPr>
            <w:tcW w:w="1558" w:type="dxa"/>
            <w:tcBorders>
              <w:top w:val="single" w:color="auto" w:sz="4" w:space="0"/>
              <w:left w:val="single" w:color="auto" w:sz="4" w:space="0"/>
              <w:bottom w:val="single" w:color="auto" w:sz="4" w:space="0"/>
              <w:right w:val="single" w:color="auto" w:sz="8" w:space="0"/>
            </w:tcBorders>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Borders>
              <w:top w:val="single" w:color="auto" w:sz="4" w:space="0"/>
              <w:left w:val="single" w:color="auto" w:sz="8" w:space="0"/>
              <w:bottom w:val="single" w:color="auto" w:sz="8" w:space="0"/>
              <w:right w:val="single" w:color="auto" w:sz="4" w:space="0"/>
            </w:tcBorders>
          </w:tcPr>
          <w:p>
            <w:pPr>
              <w:jc w:val="center"/>
              <w:rPr>
                <w:rFonts w:ascii="宋体"/>
                <w:sz w:val="18"/>
              </w:rPr>
            </w:pPr>
            <w:r>
              <w:rPr>
                <w:rFonts w:hint="eastAsia" w:ascii="宋体"/>
                <w:sz w:val="18"/>
              </w:rPr>
              <w:t>丙烯(C</w:t>
            </w:r>
            <w:r>
              <w:rPr>
                <w:rFonts w:hint="eastAsia" w:ascii="宋体"/>
                <w:sz w:val="18"/>
                <w:vertAlign w:val="subscript"/>
              </w:rPr>
              <w:t>3</w:t>
            </w:r>
            <w:r>
              <w:rPr>
                <w:rFonts w:hint="eastAsia" w:ascii="宋体"/>
                <w:sz w:val="18"/>
              </w:rPr>
              <w:t>H</w:t>
            </w:r>
            <w:r>
              <w:rPr>
                <w:rFonts w:hint="eastAsia" w:ascii="宋体"/>
                <w:sz w:val="18"/>
                <w:vertAlign w:val="subscript"/>
              </w:rPr>
              <w:t>6</w:t>
            </w:r>
            <w:r>
              <w:rPr>
                <w:rFonts w:hint="eastAsia" w:ascii="宋体"/>
                <w:sz w:val="18"/>
              </w:rPr>
              <w:t>)</w:t>
            </w:r>
          </w:p>
        </w:tc>
        <w:tc>
          <w:tcPr>
            <w:tcW w:w="1701" w:type="dxa"/>
            <w:tcBorders>
              <w:top w:val="single" w:color="auto" w:sz="4"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0</w:t>
            </w:r>
            <w:r>
              <w:rPr>
                <w:rFonts w:ascii="宋体"/>
                <w:sz w:val="18"/>
              </w:rPr>
              <w:t>.2</w:t>
            </w:r>
          </w:p>
        </w:tc>
        <w:tc>
          <w:tcPr>
            <w:tcW w:w="2693" w:type="dxa"/>
            <w:tcBorders>
              <w:top w:val="single" w:color="auto" w:sz="4" w:space="0"/>
              <w:left w:val="single" w:color="auto" w:sz="4" w:space="0"/>
              <w:bottom w:val="single" w:color="auto" w:sz="8" w:space="0"/>
              <w:right w:val="single" w:color="auto" w:sz="8" w:space="0"/>
            </w:tcBorders>
          </w:tcPr>
          <w:p>
            <w:pPr>
              <w:jc w:val="center"/>
              <w:rPr>
                <w:rFonts w:ascii="宋体"/>
                <w:sz w:val="18"/>
              </w:rPr>
            </w:pPr>
          </w:p>
        </w:tc>
        <w:tc>
          <w:tcPr>
            <w:tcW w:w="1560" w:type="dxa"/>
            <w:tcBorders>
              <w:top w:val="single" w:color="auto" w:sz="4" w:space="0"/>
              <w:left w:val="single" w:color="auto" w:sz="4" w:space="0"/>
              <w:bottom w:val="single" w:color="auto" w:sz="8" w:space="0"/>
              <w:right w:val="single" w:color="auto" w:sz="8" w:space="0"/>
            </w:tcBorders>
          </w:tcPr>
          <w:p>
            <w:pPr>
              <w:jc w:val="center"/>
              <w:rPr>
                <w:rFonts w:ascii="宋体"/>
                <w:sz w:val="18"/>
              </w:rPr>
            </w:pPr>
          </w:p>
        </w:tc>
        <w:tc>
          <w:tcPr>
            <w:tcW w:w="1418" w:type="dxa"/>
            <w:tcBorders>
              <w:top w:val="single" w:color="auto" w:sz="4" w:space="0"/>
              <w:left w:val="single" w:color="auto" w:sz="4" w:space="0"/>
              <w:bottom w:val="single" w:color="auto" w:sz="8" w:space="0"/>
              <w:right w:val="single" w:color="auto" w:sz="8" w:space="0"/>
            </w:tcBorders>
          </w:tcPr>
          <w:p>
            <w:pPr>
              <w:jc w:val="center"/>
              <w:rPr>
                <w:rFonts w:ascii="宋体"/>
                <w:sz w:val="18"/>
              </w:rPr>
            </w:pPr>
          </w:p>
        </w:tc>
        <w:tc>
          <w:tcPr>
            <w:tcW w:w="1558" w:type="dxa"/>
            <w:tcBorders>
              <w:top w:val="single" w:color="auto" w:sz="4" w:space="0"/>
              <w:left w:val="single" w:color="auto" w:sz="4" w:space="0"/>
              <w:bottom w:val="single" w:color="auto" w:sz="8" w:space="0"/>
              <w:right w:val="single" w:color="auto" w:sz="8" w:space="0"/>
            </w:tcBorders>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550" w:type="dxa"/>
            <w:tcBorders>
              <w:top w:val="single" w:color="auto" w:sz="8" w:space="0"/>
              <w:left w:val="single" w:color="auto" w:sz="8" w:space="0"/>
              <w:bottom w:val="single" w:color="auto" w:sz="8" w:space="0"/>
              <w:right w:val="single" w:color="auto" w:sz="4" w:space="0"/>
            </w:tcBorders>
          </w:tcPr>
          <w:p>
            <w:pPr>
              <w:jc w:val="center"/>
              <w:rPr>
                <w:rFonts w:ascii="宋体"/>
                <w:sz w:val="18"/>
              </w:rPr>
            </w:pPr>
            <w:r>
              <w:rPr>
                <w:rFonts w:hint="eastAsia" w:ascii="宋体"/>
                <w:sz w:val="18"/>
              </w:rPr>
              <w:t>氮氧化物</w:t>
            </w:r>
          </w:p>
          <w:p>
            <w:pPr>
              <w:jc w:val="center"/>
              <w:rPr>
                <w:rFonts w:ascii="宋体"/>
                <w:sz w:val="18"/>
              </w:rPr>
            </w:pPr>
            <w:r>
              <w:rPr>
                <w:rFonts w:hint="eastAsia" w:ascii="宋体"/>
                <w:sz w:val="18"/>
              </w:rPr>
              <w:t>[NO</w:t>
            </w:r>
            <w:r>
              <w:rPr>
                <w:rFonts w:hint="eastAsia" w:ascii="宋体"/>
                <w:sz w:val="18"/>
                <w:vertAlign w:val="subscript"/>
              </w:rPr>
              <w:t>X</w:t>
            </w:r>
            <w:r>
              <w:rPr>
                <w:rFonts w:hint="eastAsia" w:ascii="宋体"/>
                <w:sz w:val="18"/>
              </w:rPr>
              <w:t xml:space="preserve"> (NO+ NO</w:t>
            </w:r>
            <w:r>
              <w:rPr>
                <w:rFonts w:hint="eastAsia" w:ascii="宋体"/>
                <w:sz w:val="18"/>
                <w:vertAlign w:val="subscript"/>
              </w:rPr>
              <w:t>2</w:t>
            </w:r>
            <w:r>
              <w:rPr>
                <w:rFonts w:hint="eastAsia" w:ascii="宋体"/>
                <w:sz w:val="18"/>
              </w:rPr>
              <w:t>)]</w:t>
            </w:r>
          </w:p>
        </w:tc>
        <w:tc>
          <w:tcPr>
            <w:tcW w:w="1701"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0.1</w:t>
            </w:r>
          </w:p>
        </w:tc>
        <w:tc>
          <w:tcPr>
            <w:tcW w:w="2693"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560"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418"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558"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550" w:type="dxa"/>
            <w:tcBorders>
              <w:top w:val="single" w:color="auto" w:sz="8" w:space="0"/>
              <w:left w:val="single" w:color="auto" w:sz="8" w:space="0"/>
              <w:bottom w:val="single" w:color="auto" w:sz="8" w:space="0"/>
              <w:right w:val="single" w:color="auto" w:sz="4" w:space="0"/>
            </w:tcBorders>
          </w:tcPr>
          <w:p>
            <w:pPr>
              <w:jc w:val="center"/>
              <w:rPr>
                <w:rFonts w:ascii="宋体"/>
                <w:sz w:val="18"/>
              </w:rPr>
            </w:pPr>
            <w:r>
              <w:rPr>
                <w:rFonts w:hint="eastAsia" w:ascii="宋体"/>
                <w:sz w:val="18"/>
              </w:rPr>
              <w:t>臭氧（O</w:t>
            </w:r>
            <w:r>
              <w:rPr>
                <w:rFonts w:ascii="宋体"/>
                <w:sz w:val="18"/>
                <w:vertAlign w:val="subscript"/>
              </w:rPr>
              <w:t>3</w:t>
            </w:r>
            <w:r>
              <w:rPr>
                <w:rFonts w:hint="eastAsia" w:ascii="宋体"/>
                <w:sz w:val="18"/>
              </w:rPr>
              <w:t>）</w:t>
            </w:r>
          </w:p>
        </w:tc>
        <w:tc>
          <w:tcPr>
            <w:tcW w:w="1701"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ascii="宋体"/>
                <w:sz w:val="18"/>
              </w:rPr>
              <w:t>0.02</w:t>
            </w:r>
          </w:p>
        </w:tc>
        <w:tc>
          <w:tcPr>
            <w:tcW w:w="2693"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560"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418"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558"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550" w:type="dxa"/>
            <w:tcBorders>
              <w:top w:val="single" w:color="auto" w:sz="8" w:space="0"/>
              <w:left w:val="single" w:color="auto" w:sz="8" w:space="0"/>
              <w:bottom w:val="single" w:color="auto" w:sz="8" w:space="0"/>
              <w:right w:val="single" w:color="auto" w:sz="4" w:space="0"/>
            </w:tcBorders>
          </w:tcPr>
          <w:p>
            <w:pPr>
              <w:jc w:val="center"/>
              <w:rPr>
                <w:rFonts w:ascii="宋体"/>
                <w:sz w:val="18"/>
              </w:rPr>
            </w:pPr>
            <w:r>
              <w:rPr>
                <w:rFonts w:hint="eastAsia" w:ascii="宋体"/>
                <w:sz w:val="18"/>
              </w:rPr>
              <w:t>总烃(C</w:t>
            </w:r>
            <w:r>
              <w:rPr>
                <w:rFonts w:hint="eastAsia" w:ascii="宋体"/>
                <w:sz w:val="18"/>
                <w:vertAlign w:val="subscript"/>
              </w:rPr>
              <w:t>m</w:t>
            </w:r>
            <w:r>
              <w:rPr>
                <w:rFonts w:hint="eastAsia" w:ascii="宋体"/>
                <w:sz w:val="18"/>
              </w:rPr>
              <w:t>H</w:t>
            </w:r>
            <w:r>
              <w:rPr>
                <w:rFonts w:hint="eastAsia" w:ascii="宋体"/>
                <w:sz w:val="18"/>
                <w:vertAlign w:val="subscript"/>
              </w:rPr>
              <w:t>n</w:t>
            </w:r>
            <w:r>
              <w:rPr>
                <w:rFonts w:hint="eastAsia" w:ascii="宋体"/>
                <w:sz w:val="18"/>
              </w:rPr>
              <w:t>)</w:t>
            </w:r>
          </w:p>
        </w:tc>
        <w:tc>
          <w:tcPr>
            <w:tcW w:w="1701" w:type="dxa"/>
            <w:tcBorders>
              <w:top w:val="single" w:color="auto" w:sz="8" w:space="0"/>
              <w:left w:val="single" w:color="auto" w:sz="4" w:space="0"/>
              <w:bottom w:val="single" w:color="auto" w:sz="8" w:space="0"/>
              <w:right w:val="single" w:color="auto" w:sz="8" w:space="0"/>
            </w:tcBorders>
          </w:tcPr>
          <w:p>
            <w:pPr>
              <w:jc w:val="center"/>
              <w:rPr>
                <w:rFonts w:ascii="宋体"/>
                <w:sz w:val="18"/>
              </w:rPr>
            </w:pPr>
            <w:r>
              <w:rPr>
                <w:rFonts w:hint="eastAsia" w:ascii="宋体"/>
                <w:sz w:val="18"/>
              </w:rPr>
              <w:t>8</w:t>
            </w:r>
          </w:p>
        </w:tc>
        <w:tc>
          <w:tcPr>
            <w:tcW w:w="2693"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560"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418"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c>
          <w:tcPr>
            <w:tcW w:w="1558" w:type="dxa"/>
            <w:tcBorders>
              <w:top w:val="single" w:color="auto" w:sz="8" w:space="0"/>
              <w:left w:val="single" w:color="auto" w:sz="4" w:space="0"/>
              <w:bottom w:val="single" w:color="auto" w:sz="8" w:space="0"/>
              <w:right w:val="single" w:color="auto" w:sz="8" w:space="0"/>
            </w:tcBorders>
          </w:tcPr>
          <w:p>
            <w:pPr>
              <w:jc w:val="center"/>
              <w:rPr>
                <w:rFonts w:ascii="宋体"/>
                <w:sz w:val="18"/>
              </w:rPr>
            </w:pPr>
          </w:p>
        </w:tc>
      </w:tr>
    </w:tbl>
    <w:p>
      <w:pPr>
        <w:pStyle w:val="44"/>
        <w:widowControl w:val="0"/>
        <w:spacing w:before="156" w:after="156"/>
      </w:pPr>
      <w:r>
        <w:rPr>
          <w:rFonts w:hint="eastAsia"/>
        </w:rPr>
        <w:t>污染物监测</w:t>
      </w:r>
    </w:p>
    <w:p>
      <w:pPr>
        <w:pStyle w:val="65"/>
        <w:widowControl w:val="0"/>
        <w:jc w:val="both"/>
      </w:pPr>
      <w:r>
        <w:rPr>
          <w:rFonts w:hint="eastAsia"/>
        </w:rPr>
        <w:t>吸风口处空气中污染物的含量应符合表5的规定，颗粒物杂质含量应不大于 30mg/m</w:t>
      </w:r>
      <w:r>
        <w:rPr>
          <w:rFonts w:hint="eastAsia"/>
          <w:vertAlign w:val="superscript"/>
        </w:rPr>
        <w:t>3</w:t>
      </w:r>
      <w:r>
        <w:rPr>
          <w:rFonts w:hint="eastAsia"/>
        </w:rPr>
        <w:t>，腐蚀性污染物含量宜参照表</w:t>
      </w:r>
      <w:r>
        <w:t>5</w:t>
      </w:r>
      <w:r>
        <w:rPr>
          <w:rFonts w:hint="eastAsia"/>
        </w:rPr>
        <w:t>的规定。</w:t>
      </w:r>
    </w:p>
    <w:p>
      <w:pPr>
        <w:pStyle w:val="65"/>
        <w:widowControl w:val="0"/>
        <w:jc w:val="both"/>
      </w:pPr>
      <w:r>
        <w:rPr>
          <w:rFonts w:hint="eastAsia"/>
        </w:rPr>
        <w:t>空分装置运行期间，宜监测原料空气压缩机吸风口附近区域状态及环境空气状况，对设有原料空气污染物分析仪器的，应正常投用并定期校验。当区域状态及环境空气状况异常、分析数据超标时，应及时采取相应措施，保证空分装置安全运行。</w:t>
      </w:r>
    </w:p>
    <w:p>
      <w:pPr>
        <w:pStyle w:val="65"/>
        <w:widowControl w:val="0"/>
        <w:jc w:val="both"/>
      </w:pPr>
      <w:r>
        <w:rPr>
          <w:rFonts w:hint="eastAsia"/>
        </w:rPr>
        <w:t>化工、石化、煤化工等企业的空分装置还应满足以下规定：</w:t>
      </w:r>
    </w:p>
    <w:p>
      <w:pPr>
        <w:pStyle w:val="50"/>
      </w:pPr>
      <w:r>
        <w:rPr>
          <w:rFonts w:hint="eastAsia"/>
        </w:rPr>
        <w:t>化工、石化、煤化工等企业新建、改建、扩建工程配套建设的空分装置项目应纳入工程项目安全评价；</w:t>
      </w:r>
    </w:p>
    <w:p>
      <w:pPr>
        <w:pStyle w:val="50"/>
      </w:pPr>
      <w:r>
        <w:rPr>
          <w:rFonts w:hint="eastAsia"/>
        </w:rPr>
        <w:t>配套建设的空分装置应设置在线分析检测仪器对原料空气吸风口处空气中的污染物浓度进行连续在线检测，需检测的污染物应根据原料空气吸风口周边区域污染源所产生的污染物的种类和污染程度确定。</w:t>
      </w:r>
    </w:p>
    <w:p>
      <w:pPr>
        <w:pStyle w:val="44"/>
        <w:spacing w:before="156" w:after="156"/>
      </w:pPr>
      <w:r>
        <w:rPr>
          <w:rFonts w:hint="eastAsia"/>
        </w:rPr>
        <w:t>吸入空气污染物清除净化</w:t>
      </w:r>
    </w:p>
    <w:p>
      <w:pPr>
        <w:pStyle w:val="48"/>
        <w:widowControl w:val="0"/>
        <w:spacing w:before="156" w:after="156"/>
      </w:pPr>
      <w:r>
        <w:rPr>
          <w:rFonts w:hint="eastAsia"/>
        </w:rPr>
        <w:t>空气预冷系统运行要求</w:t>
      </w:r>
    </w:p>
    <w:p>
      <w:pPr>
        <w:pStyle w:val="115"/>
        <w:widowControl w:val="0"/>
        <w:jc w:val="both"/>
      </w:pPr>
      <w:r>
        <w:rPr>
          <w:rFonts w:hint="eastAsia"/>
        </w:rPr>
        <w:t>空冷塔空气出口应设空气温度检测装置，以及压力低值报警、联锁。空冷塔应设置液位报警联锁系统。</w:t>
      </w:r>
    </w:p>
    <w:p>
      <w:pPr>
        <w:pStyle w:val="115"/>
        <w:widowControl w:val="0"/>
        <w:jc w:val="both"/>
      </w:pPr>
      <w:r>
        <w:rPr>
          <w:rFonts w:hint="eastAsia"/>
        </w:rPr>
        <w:t>应充分考虑系统设备及管道的保温、保冷，以及仪表、仪器的冬季伴热。</w:t>
      </w:r>
    </w:p>
    <w:p>
      <w:pPr>
        <w:pStyle w:val="48"/>
        <w:widowControl w:val="0"/>
        <w:spacing w:before="156" w:after="156"/>
      </w:pPr>
      <w:r>
        <w:rPr>
          <w:rFonts w:hint="eastAsia"/>
        </w:rPr>
        <w:t>空气纯化系统运行要求</w:t>
      </w:r>
    </w:p>
    <w:p>
      <w:pPr>
        <w:pStyle w:val="115"/>
        <w:widowControl w:val="0"/>
        <w:jc w:val="both"/>
      </w:pPr>
      <w:r>
        <w:rPr>
          <w:rFonts w:hint="eastAsia"/>
        </w:rPr>
        <w:t>经分子筛吸附器处理后，空气中的二氧化碳含量（体积分数）应小于1×10</w:t>
      </w:r>
      <w:r>
        <w:rPr>
          <w:rFonts w:hint="eastAsia"/>
          <w:vertAlign w:val="superscript"/>
        </w:rPr>
        <w:t>-6</w:t>
      </w:r>
      <w:r>
        <w:rPr>
          <w:rFonts w:hint="eastAsia"/>
        </w:rPr>
        <w:t>，水分含量小于2.6×10</w:t>
      </w:r>
      <w:r>
        <w:rPr>
          <w:rFonts w:hint="eastAsia"/>
          <w:vertAlign w:val="superscript"/>
        </w:rPr>
        <w:t>-6</w:t>
      </w:r>
      <w:r>
        <w:rPr>
          <w:rFonts w:hint="eastAsia"/>
        </w:rPr>
        <w:t>，氧化亚氮不大于0</w:t>
      </w:r>
      <w:r>
        <w:t>.07</w:t>
      </w:r>
      <w:r>
        <w:rPr>
          <w:rFonts w:hint="eastAsia"/>
        </w:rPr>
        <w:t>×10</w:t>
      </w:r>
      <w:r>
        <w:rPr>
          <w:rFonts w:hint="eastAsia"/>
          <w:vertAlign w:val="superscript"/>
        </w:rPr>
        <w:t>-6</w:t>
      </w:r>
      <w:r>
        <w:rPr>
          <w:rFonts w:hint="eastAsia"/>
        </w:rPr>
        <w:t>。</w:t>
      </w:r>
    </w:p>
    <w:p>
      <w:pPr>
        <w:pStyle w:val="115"/>
        <w:widowControl w:val="0"/>
        <w:jc w:val="both"/>
      </w:pPr>
      <w:r>
        <w:rPr>
          <w:rFonts w:hint="eastAsia"/>
        </w:rPr>
        <w:t>采用蒸汽加热器再生时，污氮气出口应设置微量水分析仪，其露点不宜高于-65℃。</w:t>
      </w:r>
    </w:p>
    <w:p>
      <w:pPr>
        <w:pStyle w:val="115"/>
        <w:widowControl w:val="0"/>
        <w:jc w:val="both"/>
      </w:pPr>
      <w:r>
        <w:rPr>
          <w:rFonts w:hint="eastAsia"/>
        </w:rPr>
        <w:t>分子筛吸附器、加热器、进出管道宜包扎绝热层。</w:t>
      </w:r>
    </w:p>
    <w:p>
      <w:pPr>
        <w:pStyle w:val="48"/>
        <w:spacing w:before="156" w:after="156"/>
      </w:pPr>
      <w:r>
        <w:rPr>
          <w:rFonts w:hint="eastAsia"/>
        </w:rPr>
        <w:t>运行监控检测</w:t>
      </w:r>
    </w:p>
    <w:p>
      <w:pPr>
        <w:pStyle w:val="115"/>
        <w:jc w:val="both"/>
      </w:pPr>
      <w:r>
        <w:rPr>
          <w:rFonts w:hint="eastAsia"/>
        </w:rPr>
        <w:t>在吸附纯化系统出口应配置在线微量二氧化碳分析仪，检测二氧化碳是否穿透吸附净化系统。</w:t>
      </w:r>
    </w:p>
    <w:p>
      <w:pPr>
        <w:pStyle w:val="115"/>
        <w:jc w:val="both"/>
      </w:pPr>
      <w:r>
        <w:rPr>
          <w:rFonts w:hint="eastAsia"/>
        </w:rPr>
        <w:t>空分装置纯化系统不应在二氧化碳持续低浓度穿透的情况下长期运行。</w:t>
      </w:r>
    </w:p>
    <w:p>
      <w:pPr>
        <w:pStyle w:val="115"/>
        <w:jc w:val="both"/>
      </w:pPr>
      <w:r>
        <w:rPr>
          <w:rFonts w:hint="eastAsia"/>
        </w:rPr>
        <w:t>可利用检测入口原料气污染物和主冷凝蒸发器底部多组分碳氢化合物的含量，验证吸附纯化系统工作情况。</w:t>
      </w:r>
    </w:p>
    <w:p>
      <w:pPr>
        <w:pStyle w:val="47"/>
        <w:widowControl w:val="0"/>
        <w:spacing w:before="312" w:after="312"/>
      </w:pPr>
      <w:bookmarkStart w:id="103" w:name="_Toc44335568"/>
      <w:bookmarkStart w:id="104" w:name="_Toc43215135"/>
      <w:bookmarkStart w:id="105" w:name="_Toc43218319"/>
      <w:bookmarkStart w:id="106" w:name="_Toc43218591"/>
      <w:bookmarkStart w:id="107" w:name="_Toc44336246"/>
      <w:bookmarkStart w:id="108" w:name="_Toc54434956"/>
      <w:bookmarkStart w:id="109" w:name="_Toc54355457"/>
      <w:bookmarkStart w:id="110" w:name="_Toc51244022"/>
      <w:bookmarkStart w:id="111" w:name="_Toc45627592"/>
      <w:bookmarkStart w:id="112" w:name="_Toc44335665"/>
      <w:bookmarkStart w:id="113" w:name="_Toc54446522"/>
      <w:bookmarkStart w:id="114" w:name="_Toc54447475"/>
      <w:bookmarkStart w:id="115" w:name="_Toc46239383"/>
      <w:r>
        <w:rPr>
          <w:rFonts w:hint="eastAsia"/>
        </w:rPr>
        <w:t>压缩机</w:t>
      </w:r>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44"/>
        <w:widowControl w:val="0"/>
        <w:spacing w:before="156" w:after="156"/>
      </w:pPr>
      <w:r>
        <w:rPr>
          <w:rFonts w:hint="eastAsia"/>
        </w:rPr>
        <w:t>基本要求</w:t>
      </w:r>
    </w:p>
    <w:p>
      <w:pPr>
        <w:pStyle w:val="65"/>
        <w:widowControl w:val="0"/>
        <w:jc w:val="both"/>
      </w:pPr>
      <w:r>
        <w:rPr>
          <w:rFonts w:hint="eastAsia"/>
        </w:rPr>
        <w:t>离心式压缩机轴承设计是在最大进口油温50℃的工作条件下，轴承合金（巴氏合金）温度不应超过100℃，回油温度不应超过进油温度+25℃。当无法满足进口油温工作条件时，供需双方应共同协商可接受的轴承合金温度。活塞式压缩机曲轴箱内润滑油温度不应超过75℃。</w:t>
      </w:r>
    </w:p>
    <w:p>
      <w:pPr>
        <w:pStyle w:val="65"/>
        <w:widowControl w:val="0"/>
        <w:jc w:val="both"/>
      </w:pPr>
      <w:r>
        <w:rPr>
          <w:rFonts w:hint="eastAsia"/>
        </w:rPr>
        <w:t>离心式压缩机轴的振动（不含大齿轮的振动）应采用非接触式仪器测量，测量位置在支承轴承处，测得的双振幅值应符合JB/T 6443.</w:t>
      </w:r>
      <w:r>
        <w:t>3</w:t>
      </w:r>
      <w:r>
        <w:rPr>
          <w:rFonts w:hint="eastAsia"/>
        </w:rPr>
        <w:t>的要求。</w:t>
      </w:r>
    </w:p>
    <w:p>
      <w:pPr>
        <w:pStyle w:val="65"/>
        <w:widowControl w:val="0"/>
        <w:jc w:val="both"/>
      </w:pPr>
      <w:r>
        <w:rPr>
          <w:rFonts w:hint="eastAsia"/>
        </w:rPr>
        <w:t>活塞式压缩机机体振动烈度应符合GB/T 7777的规定，且气缸盖沿气缸轴线上的全振幅不应超过曲轴轴心线至测量点距离的1×10</w:t>
      </w:r>
      <w:r>
        <w:rPr>
          <w:rFonts w:hint="eastAsia"/>
          <w:vertAlign w:val="superscript"/>
        </w:rPr>
        <w:t>-4</w:t>
      </w:r>
      <w:r>
        <w:rPr>
          <w:rFonts w:hint="eastAsia"/>
        </w:rPr>
        <w:t>倍。</w:t>
      </w:r>
    </w:p>
    <w:p>
      <w:pPr>
        <w:pStyle w:val="65"/>
        <w:widowControl w:val="0"/>
        <w:jc w:val="both"/>
      </w:pPr>
      <w:r>
        <w:rPr>
          <w:rFonts w:hint="eastAsia"/>
        </w:rPr>
        <w:t>离心式压缩机叶轮应进行超速试验，其要求不应低于JB/T 6443.</w:t>
      </w:r>
      <w:r>
        <w:t>3</w:t>
      </w:r>
      <w:r>
        <w:rPr>
          <w:rFonts w:hint="eastAsia"/>
        </w:rPr>
        <w:t>的要求。</w:t>
      </w:r>
    </w:p>
    <w:p>
      <w:pPr>
        <w:pStyle w:val="65"/>
        <w:widowControl w:val="0"/>
        <w:jc w:val="both"/>
      </w:pPr>
      <w:r>
        <w:rPr>
          <w:rFonts w:hint="eastAsia"/>
        </w:rPr>
        <w:t>离心式压缩机转子应进行动平衡试验，压缩机宜进行厂内机械运转试车。</w:t>
      </w:r>
    </w:p>
    <w:p>
      <w:pPr>
        <w:pStyle w:val="65"/>
        <w:widowControl w:val="0"/>
        <w:jc w:val="both"/>
      </w:pPr>
      <w:r>
        <w:rPr>
          <w:rFonts w:hint="eastAsia"/>
        </w:rPr>
        <w:t>离心式压缩机转子临界转速如低于最低工作转速，临界转速设计应小于最低工作转速的85%，离心式压缩机转子临界转速如高于最高工作转速，临界转速设计应大于最高工作转速的120%。</w:t>
      </w:r>
    </w:p>
    <w:p>
      <w:pPr>
        <w:pStyle w:val="65"/>
        <w:widowControl w:val="0"/>
        <w:jc w:val="both"/>
      </w:pPr>
      <w:r>
        <w:rPr>
          <w:rFonts w:hint="eastAsia"/>
        </w:rPr>
        <w:t>离心式氧压机的材料应选用在氧气中燃点温度高、燃烧速度慢、能避免燃爆、保证机组安全运转的材料，机壳宜使用不易变形的铸造件，并符合相关规定。叶轮材料宜采用氧压机专用高强度不锈钢。</w:t>
      </w:r>
    </w:p>
    <w:p>
      <w:pPr>
        <w:pStyle w:val="65"/>
        <w:widowControl w:val="0"/>
        <w:jc w:val="both"/>
      </w:pPr>
      <w:r>
        <w:rPr>
          <w:rFonts w:hint="eastAsia"/>
        </w:rPr>
        <w:t>离心式氧压机的叶轮宜采用整体制造或全焊接结构，在窄流道叶轮中可采用钎铆、钎焊或塞焊结构，但不应留有缝隙。</w:t>
      </w:r>
    </w:p>
    <w:p>
      <w:pPr>
        <w:pStyle w:val="65"/>
        <w:widowControl w:val="0"/>
        <w:jc w:val="both"/>
      </w:pPr>
      <w:r>
        <w:rPr>
          <w:rFonts w:hint="eastAsia"/>
        </w:rPr>
        <w:t>活塞式氧压机气缸和气缸填料应采用无油润滑。</w:t>
      </w:r>
    </w:p>
    <w:p>
      <w:pPr>
        <w:pStyle w:val="65"/>
        <w:widowControl w:val="0"/>
        <w:jc w:val="both"/>
      </w:pPr>
      <w:r>
        <w:rPr>
          <w:rFonts w:hint="eastAsia"/>
        </w:rPr>
        <w:t>活塞式氧压机气缸填料盒宜采用铜合金材料，当气缸工作压力大于2.0MPa时，活塞体也宜采用铜合金材料，活塞环和气缸填料应选用氧兼容材料。</w:t>
      </w:r>
    </w:p>
    <w:p>
      <w:pPr>
        <w:pStyle w:val="65"/>
        <w:widowControl w:val="0"/>
        <w:jc w:val="both"/>
      </w:pPr>
      <w:r>
        <w:rPr>
          <w:rFonts w:hint="eastAsia"/>
        </w:rPr>
        <w:t>离心式氧压机机壳温度和排气温度不应超过175℃。往复活塞环式氧压机气体排气温度不应超过170℃，往复迷宫活塞式氧压机气体排气温度不应超过195℃。</w:t>
      </w:r>
    </w:p>
    <w:p>
      <w:pPr>
        <w:pStyle w:val="65"/>
        <w:widowControl w:val="0"/>
        <w:jc w:val="both"/>
      </w:pPr>
      <w:r>
        <w:rPr>
          <w:rFonts w:hint="eastAsia"/>
        </w:rPr>
        <w:t>与氧气接触的机壳、隔板等零部件的中分面应使用可用于氧环境的密封绳密封，不应涂密封胶。</w:t>
      </w:r>
    </w:p>
    <w:p>
      <w:pPr>
        <w:pStyle w:val="65"/>
        <w:widowControl w:val="0"/>
        <w:jc w:val="both"/>
      </w:pPr>
      <w:r>
        <w:rPr>
          <w:rFonts w:hint="eastAsia"/>
        </w:rPr>
        <w:t>氧压机（包括辅助设备）中与氧气接触的表面应进行脱脂清洗，脱脂后表面油脂残留量应达到以下规定：</w:t>
      </w:r>
    </w:p>
    <w:p>
      <w:pPr>
        <w:numPr>
          <w:ilvl w:val="0"/>
          <w:numId w:val="20"/>
        </w:numPr>
        <w:rPr>
          <w:rFonts w:ascii="宋体"/>
          <w:kern w:val="0"/>
          <w:szCs w:val="20"/>
        </w:rPr>
      </w:pPr>
      <w:r>
        <w:rPr>
          <w:rFonts w:hint="eastAsia" w:ascii="宋体"/>
          <w:kern w:val="0"/>
          <w:szCs w:val="20"/>
        </w:rPr>
        <w:t>离心式氧压机本体≤100 mg/m</w:t>
      </w:r>
      <w:r>
        <w:rPr>
          <w:rFonts w:hint="eastAsia" w:ascii="宋体"/>
          <w:kern w:val="0"/>
          <w:szCs w:val="20"/>
          <w:vertAlign w:val="superscript"/>
        </w:rPr>
        <w:t>2</w:t>
      </w:r>
      <w:r>
        <w:rPr>
          <w:rFonts w:hint="eastAsia" w:ascii="宋体"/>
          <w:kern w:val="0"/>
          <w:szCs w:val="20"/>
        </w:rPr>
        <w:t>；</w:t>
      </w:r>
    </w:p>
    <w:p>
      <w:pPr>
        <w:numPr>
          <w:ilvl w:val="0"/>
          <w:numId w:val="20"/>
        </w:numPr>
        <w:rPr>
          <w:rFonts w:ascii="宋体"/>
          <w:kern w:val="0"/>
          <w:szCs w:val="20"/>
        </w:rPr>
      </w:pPr>
      <w:r>
        <w:rPr>
          <w:rFonts w:hint="eastAsia" w:ascii="宋体"/>
          <w:kern w:val="0"/>
          <w:szCs w:val="20"/>
        </w:rPr>
        <w:t>活塞式氧压机本体≤125 mg/m</w:t>
      </w:r>
      <w:r>
        <w:rPr>
          <w:rFonts w:hint="eastAsia" w:ascii="宋体"/>
          <w:kern w:val="0"/>
          <w:szCs w:val="20"/>
          <w:vertAlign w:val="superscript"/>
        </w:rPr>
        <w:t>2</w:t>
      </w:r>
      <w:r>
        <w:rPr>
          <w:rFonts w:hint="eastAsia" w:ascii="宋体"/>
          <w:kern w:val="0"/>
          <w:szCs w:val="20"/>
        </w:rPr>
        <w:t>；</w:t>
      </w:r>
    </w:p>
    <w:p>
      <w:pPr>
        <w:numPr>
          <w:ilvl w:val="0"/>
          <w:numId w:val="20"/>
        </w:numPr>
        <w:rPr>
          <w:rFonts w:ascii="宋体"/>
          <w:kern w:val="0"/>
          <w:szCs w:val="20"/>
        </w:rPr>
      </w:pPr>
      <w:r>
        <w:rPr>
          <w:rFonts w:hint="eastAsia" w:ascii="宋体"/>
          <w:kern w:val="0"/>
          <w:szCs w:val="20"/>
        </w:rPr>
        <w:t>辅助设备≤125 mg/m</w:t>
      </w:r>
      <w:r>
        <w:rPr>
          <w:rFonts w:hint="eastAsia" w:ascii="宋体"/>
          <w:kern w:val="0"/>
          <w:szCs w:val="20"/>
          <w:vertAlign w:val="superscript"/>
        </w:rPr>
        <w:t>2</w:t>
      </w:r>
      <w:r>
        <w:rPr>
          <w:rFonts w:hint="eastAsia" w:ascii="宋体"/>
          <w:kern w:val="0"/>
          <w:szCs w:val="20"/>
        </w:rPr>
        <w:t>。</w:t>
      </w:r>
    </w:p>
    <w:p>
      <w:pPr>
        <w:pStyle w:val="65"/>
        <w:jc w:val="both"/>
      </w:pPr>
      <w:r>
        <w:rPr>
          <w:rFonts w:hint="eastAsia"/>
        </w:rPr>
        <w:t>离心式循环增压机和膨胀机增压端等气体直接进入空分冷箱的与气体接触的流道表面应进行脱脂。脱脂方法及油脂残留量的检查评定方法应符合</w:t>
      </w:r>
      <w:r>
        <w:t>JB/T 6896</w:t>
      </w:r>
      <w:r>
        <w:rPr>
          <w:rFonts w:hint="eastAsia"/>
        </w:rPr>
        <w:t>的规定。</w:t>
      </w:r>
    </w:p>
    <w:p>
      <w:pPr>
        <w:pStyle w:val="44"/>
        <w:widowControl w:val="0"/>
        <w:spacing w:before="156" w:after="156"/>
      </w:pPr>
      <w:r>
        <w:rPr>
          <w:rFonts w:hint="eastAsia"/>
        </w:rPr>
        <w:t>机组系统安全设备配置</w:t>
      </w:r>
    </w:p>
    <w:p>
      <w:pPr>
        <w:pStyle w:val="65"/>
        <w:jc w:val="both"/>
      </w:pPr>
      <w:r>
        <w:rPr>
          <w:rFonts w:hint="eastAsia"/>
        </w:rPr>
        <w:t>离心式压缩机应配有防喘振系统，轴位移、轴振动、总供油压力等应设置报警及联锁保护，轴承温度、油箱液位应设置报警。离心式氧压机应有机壳温度和气管路各段排气温度等参数报警及联锁保护。</w:t>
      </w:r>
    </w:p>
    <w:p>
      <w:pPr>
        <w:pStyle w:val="65"/>
        <w:jc w:val="both"/>
      </w:pPr>
      <w:r>
        <w:rPr>
          <w:rFonts w:hint="eastAsia"/>
        </w:rPr>
        <w:t>离心式压缩机监测控制系统应采用PLC或DCS、CCS等自动程序控制系统。</w:t>
      </w:r>
    </w:p>
    <w:p>
      <w:pPr>
        <w:pStyle w:val="65"/>
        <w:jc w:val="both"/>
      </w:pPr>
      <w:r>
        <w:rPr>
          <w:rFonts w:hint="eastAsia"/>
        </w:rPr>
        <w:t>离心式压缩机排气管路上，应设置自动止回阀，防止管网气体倒流，避免压缩机逆转。</w:t>
      </w:r>
    </w:p>
    <w:p>
      <w:pPr>
        <w:pStyle w:val="65"/>
        <w:jc w:val="both"/>
      </w:pPr>
      <w:r>
        <w:rPr>
          <w:rFonts w:hint="eastAsia"/>
        </w:rPr>
        <w:t>离心式氧压机轴封装置除迷宫密封外，还应同时采用干燥氮气或惰性气体密封，防止氧气外漏和外部灰尘或水汽渗入，机壳内不应进油及油蒸汽。</w:t>
      </w:r>
    </w:p>
    <w:p>
      <w:pPr>
        <w:pStyle w:val="65"/>
        <w:jc w:val="both"/>
      </w:pPr>
      <w:r>
        <w:rPr>
          <w:rFonts w:hint="eastAsia"/>
        </w:rPr>
        <w:t>离心式氧压机入口处应设置可清洗的过滤器，滤网筛孔尺寸宜为60～80目（0.25～0.18mm），滤网筛孔尺寸最小不应超过100目（0.15mm）。离心式氮气压缩机和增压机可设置临时试车过滤器，在空分设备运行一段时间，上游管道已确保干净的情况下，可拆去滤芯。</w:t>
      </w:r>
    </w:p>
    <w:p>
      <w:pPr>
        <w:pStyle w:val="65"/>
        <w:jc w:val="both"/>
      </w:pPr>
      <w:r>
        <w:rPr>
          <w:rFonts w:hint="eastAsia"/>
        </w:rPr>
        <w:t>离心式氧压机应配有灭火氮保护系统。</w:t>
      </w:r>
    </w:p>
    <w:p>
      <w:pPr>
        <w:pStyle w:val="65"/>
        <w:jc w:val="both"/>
      </w:pPr>
      <w:r>
        <w:rPr>
          <w:rFonts w:hint="eastAsia"/>
        </w:rPr>
        <w:t>氧气设备、管道上法兰的跨接电阻不宜大于0.03</w:t>
      </w:r>
      <w:r>
        <w:t>Ω</w:t>
      </w:r>
      <w:r>
        <w:rPr>
          <w:rFonts w:hint="eastAsia"/>
        </w:rPr>
        <w:t>，否则应设置跨接导线，电机外壳应接地。</w:t>
      </w:r>
    </w:p>
    <w:p>
      <w:pPr>
        <w:pStyle w:val="65"/>
        <w:jc w:val="both"/>
      </w:pPr>
      <w:r>
        <w:rPr>
          <w:rFonts w:hint="eastAsia"/>
        </w:rPr>
        <w:t>氧气和氮气压缩机应设置通风设备，并在密闭区域设置浓度监测装置，监测气体浓度。</w:t>
      </w:r>
    </w:p>
    <w:p>
      <w:pPr>
        <w:pStyle w:val="65"/>
        <w:jc w:val="both"/>
      </w:pPr>
      <w:r>
        <w:rPr>
          <w:rFonts w:hint="eastAsia"/>
        </w:rPr>
        <w:t>离心式压缩机的供油装置应配置安全停车用的势能油箱或轴头泵，配置轴头泵时，应配置一台电机驱动的辅助油泵。汽轮机驱动的压缩机应设置一台有独立电源、能快速启动的事故油泵。</w:t>
      </w:r>
    </w:p>
    <w:p>
      <w:pPr>
        <w:pStyle w:val="65"/>
        <w:jc w:val="both"/>
      </w:pPr>
      <w:r>
        <w:rPr>
          <w:rFonts w:hint="eastAsia"/>
        </w:rPr>
        <w:t>活塞式压缩机应在气体入口管线上设置过滤器，过滤器的滤网筛孔尺寸宜为100目（0.15mm）。</w:t>
      </w:r>
    </w:p>
    <w:p>
      <w:pPr>
        <w:pStyle w:val="65"/>
        <w:jc w:val="both"/>
      </w:pPr>
      <w:r>
        <w:rPr>
          <w:rFonts w:hint="eastAsia"/>
        </w:rPr>
        <w:t>活塞式压缩机应在级间和末级设置安全阀。</w:t>
      </w:r>
    </w:p>
    <w:p>
      <w:pPr>
        <w:pStyle w:val="65"/>
        <w:jc w:val="both"/>
      </w:pPr>
      <w:r>
        <w:rPr>
          <w:rFonts w:hint="eastAsia"/>
        </w:rPr>
        <w:t>活塞式氧压机应在末级出口止回阀上游设置放空阀，并能实现快速全开，使压缩机在发生故障或紧急情况停车时能快速泄放氧压机内氧气。</w:t>
      </w:r>
    </w:p>
    <w:p>
      <w:pPr>
        <w:pStyle w:val="44"/>
        <w:widowControl w:val="0"/>
        <w:spacing w:before="156" w:after="156"/>
      </w:pPr>
      <w:r>
        <w:rPr>
          <w:rFonts w:hint="eastAsia"/>
        </w:rPr>
        <w:t>正常运行和维护</w:t>
      </w:r>
    </w:p>
    <w:p>
      <w:pPr>
        <w:pStyle w:val="48"/>
        <w:widowControl w:val="0"/>
        <w:spacing w:before="156" w:after="156"/>
      </w:pPr>
      <w:r>
        <w:rPr>
          <w:rFonts w:hint="eastAsia"/>
        </w:rPr>
        <w:t>压缩机启动前的准备</w:t>
      </w:r>
    </w:p>
    <w:p>
      <w:pPr>
        <w:pStyle w:val="115"/>
        <w:widowControl w:val="0"/>
        <w:jc w:val="both"/>
      </w:pPr>
      <w:r>
        <w:rPr>
          <w:rFonts w:hint="eastAsia"/>
        </w:rPr>
        <w:t>应确保压缩机系统正常，压缩机内部管道、上游管道及过滤器清洗干净、无异物，压缩机正常盘车，无卡住和碰擦现象。</w:t>
      </w:r>
    </w:p>
    <w:p>
      <w:pPr>
        <w:pStyle w:val="115"/>
        <w:widowControl w:val="0"/>
        <w:jc w:val="both"/>
      </w:pPr>
      <w:r>
        <w:rPr>
          <w:rFonts w:hint="eastAsia"/>
        </w:rPr>
        <w:t>应确保供油、供水系统投用正常。</w:t>
      </w:r>
    </w:p>
    <w:p>
      <w:pPr>
        <w:pStyle w:val="115"/>
        <w:widowControl w:val="0"/>
        <w:jc w:val="both"/>
      </w:pPr>
      <w:r>
        <w:rPr>
          <w:rFonts w:hint="eastAsia"/>
        </w:rPr>
        <w:t>应确保气管路系统、仪表气源和安保气源投用正常。</w:t>
      </w:r>
    </w:p>
    <w:p>
      <w:pPr>
        <w:pStyle w:val="48"/>
        <w:widowControl w:val="0"/>
        <w:spacing w:before="156" w:after="156"/>
        <w:jc w:val="both"/>
      </w:pPr>
      <w:r>
        <w:rPr>
          <w:rFonts w:hint="eastAsia"/>
        </w:rPr>
        <w:t>启动和升压</w:t>
      </w:r>
    </w:p>
    <w:p>
      <w:pPr>
        <w:pStyle w:val="115"/>
        <w:widowControl w:val="0"/>
        <w:jc w:val="both"/>
      </w:pPr>
      <w:r>
        <w:rPr>
          <w:rFonts w:hint="eastAsia"/>
        </w:rPr>
        <w:t>启动过程中，应密切关注离心式压缩机各轴承温度、轴振动、轴位移等参数的变化，当发生异常情况时应迅速停车检查，分析原因并解决问题。</w:t>
      </w:r>
    </w:p>
    <w:p>
      <w:pPr>
        <w:pStyle w:val="115"/>
        <w:widowControl w:val="0"/>
        <w:jc w:val="both"/>
      </w:pPr>
      <w:r>
        <w:rPr>
          <w:rFonts w:hint="eastAsia"/>
        </w:rPr>
        <w:t>应密切关注离心式压缩机升速越过临界转速时的振动情况，如果是汽轮机驱动，升速时应迅速通过离心压缩机临界转速区域对应的汽轮机转速区间，不应在此区间长时间运行。</w:t>
      </w:r>
    </w:p>
    <w:p>
      <w:pPr>
        <w:pStyle w:val="115"/>
        <w:widowControl w:val="0"/>
        <w:jc w:val="both"/>
      </w:pPr>
      <w:r>
        <w:rPr>
          <w:rFonts w:hint="eastAsia"/>
        </w:rPr>
        <w:t>离心式氧压机应先采用氮气进行启动，再用氧气置换压缩机中的氮气，完成启动过程。</w:t>
      </w:r>
    </w:p>
    <w:p>
      <w:pPr>
        <w:pStyle w:val="115"/>
        <w:widowControl w:val="0"/>
        <w:jc w:val="both"/>
      </w:pPr>
      <w:r>
        <w:rPr>
          <w:rFonts w:hint="eastAsia"/>
        </w:rPr>
        <w:t>活塞式压缩机启动前应扳动曲轴数转，确认设备运转无障碍。启动后，应密切关注润滑油供油压力、各轴承温度、密封器密封效果和刮油器的刮油效果、活塞杆温升情况。</w:t>
      </w:r>
    </w:p>
    <w:p>
      <w:pPr>
        <w:pStyle w:val="115"/>
        <w:jc w:val="both"/>
      </w:pPr>
      <w:r>
        <w:rPr>
          <w:rFonts w:hint="eastAsia"/>
        </w:rPr>
        <w:t>离心式压缩机组应按操作规程进行升压操作。</w:t>
      </w:r>
    </w:p>
    <w:p>
      <w:pPr>
        <w:pStyle w:val="115"/>
        <w:jc w:val="both"/>
      </w:pPr>
      <w:r>
        <w:rPr>
          <w:rFonts w:hint="eastAsia"/>
        </w:rPr>
        <w:t>活塞式氧压机升压过程应缓慢。通过回流阀升压时，应根据进口压力高低逐渐调整排气压力至额定压力。</w:t>
      </w:r>
    </w:p>
    <w:p>
      <w:pPr>
        <w:pStyle w:val="48"/>
        <w:widowControl w:val="0"/>
        <w:spacing w:before="156" w:after="156"/>
      </w:pPr>
      <w:r>
        <w:rPr>
          <w:rFonts w:hint="eastAsia"/>
        </w:rPr>
        <w:t>运转时的操作和维护</w:t>
      </w:r>
    </w:p>
    <w:p>
      <w:pPr>
        <w:pStyle w:val="115"/>
        <w:widowControl w:val="0"/>
        <w:jc w:val="both"/>
      </w:pPr>
      <w:r>
        <w:rPr>
          <w:rFonts w:hint="eastAsia"/>
        </w:rPr>
        <w:t>离心式压缩机运转时应密切关注各轴承温度、轴振动、轴位移等参数的变化。</w:t>
      </w:r>
    </w:p>
    <w:p>
      <w:pPr>
        <w:pStyle w:val="115"/>
        <w:widowControl w:val="0"/>
        <w:jc w:val="both"/>
      </w:pPr>
      <w:r>
        <w:rPr>
          <w:rFonts w:hint="eastAsia"/>
        </w:rPr>
        <w:t>离心式压缩机运转时应密切关注供油压力、供油温度、油箱液位、油箱真空度等参数。</w:t>
      </w:r>
    </w:p>
    <w:p>
      <w:pPr>
        <w:pStyle w:val="115"/>
        <w:widowControl w:val="0"/>
        <w:jc w:val="both"/>
      </w:pPr>
      <w:r>
        <w:rPr>
          <w:rFonts w:hint="eastAsia"/>
        </w:rPr>
        <w:t xml:space="preserve">离心式压缩机组应按操作规程进行定期化验和更换润滑油。 </w:t>
      </w:r>
    </w:p>
    <w:p>
      <w:pPr>
        <w:pStyle w:val="115"/>
        <w:widowControl w:val="0"/>
        <w:jc w:val="both"/>
      </w:pPr>
      <w:r>
        <w:rPr>
          <w:rFonts w:hint="eastAsia"/>
        </w:rPr>
        <w:t>活塞式氧压机应定期检查密封器的密封性及刮油器的刮油效果，刮油器端面上应无润滑油滴，活塞杆无挂油现象。</w:t>
      </w:r>
    </w:p>
    <w:p>
      <w:pPr>
        <w:pStyle w:val="115"/>
        <w:widowControl w:val="0"/>
        <w:jc w:val="both"/>
      </w:pPr>
      <w:r>
        <w:rPr>
          <w:rFonts w:hint="eastAsia"/>
        </w:rPr>
        <w:t>活塞式压缩机应注意易损件的使用寿命，对于活塞环、导向环、密封器填料及气阀阀片、弹簧等易损件应在寿命周期内及时更换。</w:t>
      </w:r>
    </w:p>
    <w:p>
      <w:pPr>
        <w:pStyle w:val="44"/>
        <w:widowControl w:val="0"/>
        <w:spacing w:before="156" w:after="156"/>
      </w:pPr>
      <w:r>
        <w:rPr>
          <w:rFonts w:hint="eastAsia"/>
        </w:rPr>
        <w:t>停机</w:t>
      </w:r>
    </w:p>
    <w:p>
      <w:pPr>
        <w:pStyle w:val="48"/>
        <w:widowControl w:val="0"/>
        <w:spacing w:before="156" w:after="156"/>
      </w:pPr>
      <w:r>
        <w:rPr>
          <w:rFonts w:hint="eastAsia"/>
        </w:rPr>
        <w:t>正常停车</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应按照操作规程进行停车及后续的维护。</w:t>
      </w:r>
    </w:p>
    <w:p>
      <w:pPr>
        <w:pStyle w:val="48"/>
        <w:widowControl w:val="0"/>
        <w:spacing w:before="156" w:after="156"/>
      </w:pPr>
      <w:r>
        <w:rPr>
          <w:rFonts w:hint="eastAsia"/>
        </w:rPr>
        <w:t>紧急停车</w:t>
      </w:r>
    </w:p>
    <w:p>
      <w:pPr>
        <w:pStyle w:val="115"/>
        <w:widowControl w:val="0"/>
        <w:jc w:val="both"/>
      </w:pPr>
      <w:r>
        <w:rPr>
          <w:rFonts w:hint="eastAsia"/>
        </w:rPr>
        <w:t>离心式压缩机组在运转时若出现严重故障，应能由联锁报警系统实现紧急自动停车。在运转过程中，操作人员发现其他异常时，如：</w:t>
      </w:r>
    </w:p>
    <w:p>
      <w:pPr>
        <w:numPr>
          <w:ilvl w:val="0"/>
          <w:numId w:val="20"/>
        </w:numPr>
        <w:rPr>
          <w:rFonts w:ascii="宋体"/>
          <w:kern w:val="0"/>
          <w:szCs w:val="20"/>
        </w:rPr>
      </w:pPr>
      <w:r>
        <w:rPr>
          <w:rFonts w:hint="eastAsia" w:ascii="宋体"/>
          <w:kern w:val="0"/>
          <w:szCs w:val="20"/>
        </w:rPr>
        <w:t>机组冒烟或润滑油发生燃烧现象；</w:t>
      </w:r>
    </w:p>
    <w:p>
      <w:pPr>
        <w:numPr>
          <w:ilvl w:val="0"/>
          <w:numId w:val="20"/>
        </w:numPr>
        <w:rPr>
          <w:rFonts w:ascii="宋体"/>
          <w:kern w:val="0"/>
          <w:szCs w:val="20"/>
        </w:rPr>
      </w:pPr>
      <w:r>
        <w:rPr>
          <w:rFonts w:hint="eastAsia" w:ascii="宋体"/>
          <w:kern w:val="0"/>
          <w:szCs w:val="20"/>
        </w:rPr>
        <w:t>机体内有不正常的金属碰撞声或其他异常响声；</w:t>
      </w:r>
    </w:p>
    <w:p>
      <w:pPr>
        <w:numPr>
          <w:ilvl w:val="0"/>
          <w:numId w:val="20"/>
        </w:numPr>
        <w:rPr>
          <w:rFonts w:ascii="宋体"/>
          <w:kern w:val="0"/>
          <w:szCs w:val="20"/>
        </w:rPr>
      </w:pPr>
      <w:r>
        <w:rPr>
          <w:rFonts w:hint="eastAsia" w:ascii="宋体"/>
          <w:kern w:val="0"/>
          <w:szCs w:val="20"/>
        </w:rPr>
        <w:t>机组及其零、部件的完整性有可能发生破坏或处于危险操作，</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应立即进行手动紧急停车。紧急停车后，应分析引起紧急停车的原因，并消除故障因素，否则不应重新启动离心压缩机。</w:t>
      </w:r>
    </w:p>
    <w:p>
      <w:pPr>
        <w:pStyle w:val="115"/>
        <w:widowControl w:val="0"/>
        <w:jc w:val="both"/>
      </w:pPr>
      <w:r>
        <w:rPr>
          <w:rFonts w:hint="eastAsia"/>
        </w:rPr>
        <w:t>活塞式压缩机紧急停车时，应首先关停电机，并迅速打开放空阀，关闭入口阀和出口阀，以迅速切断气源，排空机组内部气体。活塞式氧压机发生燃烧事故导致紧急停车时，如机组配有灭火氮气，应迅速打开灭火氮气进行灭火。</w:t>
      </w:r>
    </w:p>
    <w:p>
      <w:pPr>
        <w:pStyle w:val="48"/>
        <w:widowControl w:val="0"/>
        <w:spacing w:before="156" w:after="156"/>
      </w:pPr>
      <w:r>
        <w:rPr>
          <w:rFonts w:hint="eastAsia"/>
        </w:rPr>
        <w:t>离心式氧压机紧急喷氮停车</w:t>
      </w:r>
    </w:p>
    <w:p>
      <w:pPr>
        <w:pStyle w:val="115"/>
        <w:widowControl w:val="0"/>
        <w:jc w:val="both"/>
      </w:pPr>
      <w:r>
        <w:rPr>
          <w:rFonts w:hint="eastAsia"/>
        </w:rPr>
        <w:t>当离心式氧压机各段排气温度或机壳温度超过190℃时，自动程序将执行“紧急喷氮停车”，该程序为最高优先级。</w:t>
      </w:r>
    </w:p>
    <w:p>
      <w:pPr>
        <w:pStyle w:val="115"/>
        <w:widowControl w:val="0"/>
        <w:jc w:val="both"/>
      </w:pPr>
      <w:r>
        <w:rPr>
          <w:rFonts w:hint="eastAsia"/>
        </w:rPr>
        <w:t>紧急喷氮停车后，应分析引起紧急停车的原因，并消除故障因素，否则不应重新启动离心式氧压机。</w:t>
      </w:r>
    </w:p>
    <w:p>
      <w:pPr>
        <w:pStyle w:val="47"/>
        <w:widowControl w:val="0"/>
        <w:spacing w:before="312" w:after="312"/>
      </w:pPr>
      <w:bookmarkStart w:id="116" w:name="_Toc46239385"/>
      <w:bookmarkStart w:id="117" w:name="_Toc54434957"/>
      <w:bookmarkStart w:id="118" w:name="_Toc51244024"/>
      <w:bookmarkStart w:id="119" w:name="_Toc54447476"/>
      <w:bookmarkStart w:id="120" w:name="_Toc43218321"/>
      <w:bookmarkStart w:id="121" w:name="_Toc54355458"/>
      <w:bookmarkStart w:id="122" w:name="_Toc54446523"/>
      <w:bookmarkStart w:id="123" w:name="_Toc43215137"/>
      <w:bookmarkStart w:id="124" w:name="_Toc44336248"/>
      <w:bookmarkStart w:id="125" w:name="_Toc43218593"/>
      <w:bookmarkStart w:id="126" w:name="_Toc44335570"/>
      <w:bookmarkStart w:id="127" w:name="_Toc44335667"/>
      <w:bookmarkStart w:id="128" w:name="_Toc45627594"/>
      <w:r>
        <w:rPr>
          <w:rFonts w:hint="eastAsia"/>
        </w:rPr>
        <w:t>膨胀机</w:t>
      </w:r>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44"/>
        <w:widowControl w:val="0"/>
        <w:spacing w:before="156" w:after="156"/>
      </w:pPr>
      <w:r>
        <w:rPr>
          <w:rFonts w:hint="eastAsia"/>
        </w:rPr>
        <w:t>基本要求</w:t>
      </w:r>
    </w:p>
    <w:p>
      <w:pPr>
        <w:pStyle w:val="65"/>
        <w:widowControl w:val="0"/>
        <w:jc w:val="both"/>
      </w:pPr>
      <w:r>
        <w:rPr>
          <w:rFonts w:hint="eastAsia"/>
        </w:rPr>
        <w:t>膨胀和增压端叶轮应采用整体加工或钎接、焊接型式。</w:t>
      </w:r>
    </w:p>
    <w:p>
      <w:pPr>
        <w:pStyle w:val="65"/>
        <w:widowControl w:val="0"/>
        <w:jc w:val="both"/>
      </w:pPr>
      <w:r>
        <w:rPr>
          <w:rFonts w:hint="eastAsia"/>
        </w:rPr>
        <w:t>机组设计应考虑各管口上所允许的管道应力，生产厂家的技术资料应标出各管口允许的力和力矩。</w:t>
      </w:r>
    </w:p>
    <w:p>
      <w:pPr>
        <w:pStyle w:val="65"/>
        <w:widowControl w:val="0"/>
        <w:jc w:val="both"/>
      </w:pPr>
      <w:r>
        <w:rPr>
          <w:rFonts w:hint="eastAsia"/>
        </w:rPr>
        <w:t>机组宜安装精度60～80目的入口筛网过滤器，在空分设备运行一段时间，确保上游管道已干净后，可拆去滤芯。</w:t>
      </w:r>
    </w:p>
    <w:p>
      <w:pPr>
        <w:pStyle w:val="65"/>
        <w:widowControl w:val="0"/>
        <w:jc w:val="both"/>
      </w:pPr>
      <w:r>
        <w:rPr>
          <w:rFonts w:hint="eastAsia"/>
        </w:rPr>
        <w:t>增压机排气管路上应配置止回阀，防止气体倒流。</w:t>
      </w:r>
    </w:p>
    <w:p>
      <w:pPr>
        <w:pStyle w:val="65"/>
        <w:widowControl w:val="0"/>
        <w:jc w:val="both"/>
      </w:pPr>
      <w:r>
        <w:rPr>
          <w:rFonts w:hint="eastAsia"/>
        </w:rPr>
        <w:t>膨胀机监测控制系统应采用PLC或DCS等自动程序控制系统。</w:t>
      </w:r>
    </w:p>
    <w:p>
      <w:pPr>
        <w:pStyle w:val="65"/>
        <w:widowControl w:val="0"/>
        <w:jc w:val="both"/>
      </w:pPr>
      <w:r>
        <w:rPr>
          <w:rFonts w:hint="eastAsia"/>
        </w:rPr>
        <w:t>膨胀机转速控制应设置联锁回路。</w:t>
      </w:r>
    </w:p>
    <w:p>
      <w:pPr>
        <w:pStyle w:val="65"/>
        <w:widowControl w:val="0"/>
        <w:jc w:val="both"/>
      </w:pPr>
      <w:r>
        <w:rPr>
          <w:rFonts w:hint="eastAsia"/>
        </w:rPr>
        <w:t>增压膨胀机应配有防喘振系统，轴振动、供油压力、轴承温度、油箱液位等应设置极限指示、报警及联锁保护。电机制动膨胀机还应增加轴位移、键相位参数报警及联锁保护。</w:t>
      </w:r>
    </w:p>
    <w:p>
      <w:pPr>
        <w:pStyle w:val="44"/>
        <w:widowControl w:val="0"/>
        <w:spacing w:before="156" w:after="156"/>
      </w:pPr>
      <w:r>
        <w:rPr>
          <w:rFonts w:hint="eastAsia"/>
        </w:rPr>
        <w:t>运行与维护</w:t>
      </w:r>
    </w:p>
    <w:p>
      <w:pPr>
        <w:pStyle w:val="48"/>
        <w:widowControl w:val="0"/>
        <w:spacing w:before="156" w:after="156"/>
      </w:pPr>
      <w:r>
        <w:rPr>
          <w:rFonts w:hint="eastAsia"/>
        </w:rPr>
        <w:t>启动前准备工作</w:t>
      </w:r>
    </w:p>
    <w:p>
      <w:pPr>
        <w:ind w:firstLine="420" w:firstLineChars="200"/>
      </w:pPr>
      <w:r>
        <w:rPr>
          <w:rFonts w:hint="eastAsia"/>
        </w:rPr>
        <w:t>启动前应至少检查以下项目：</w:t>
      </w:r>
    </w:p>
    <w:p>
      <w:pPr>
        <w:pStyle w:val="61"/>
        <w:numPr>
          <w:ilvl w:val="0"/>
          <w:numId w:val="21"/>
        </w:numPr>
      </w:pPr>
      <w:r>
        <w:rPr>
          <w:rFonts w:hint="eastAsia"/>
        </w:rPr>
        <w:t>仪表气和供油系统正常；</w:t>
      </w:r>
    </w:p>
    <w:p>
      <w:pPr>
        <w:pStyle w:val="61"/>
        <w:numPr>
          <w:ilvl w:val="0"/>
          <w:numId w:val="21"/>
        </w:numPr>
      </w:pPr>
      <w:r>
        <w:rPr>
          <w:rFonts w:hint="eastAsia"/>
        </w:rPr>
        <w:t>供水和气管路系统正常；</w:t>
      </w:r>
    </w:p>
    <w:p>
      <w:pPr>
        <w:pStyle w:val="61"/>
        <w:numPr>
          <w:ilvl w:val="0"/>
          <w:numId w:val="21"/>
        </w:numPr>
      </w:pPr>
      <w:r>
        <w:rPr>
          <w:rFonts w:hint="eastAsia"/>
        </w:rPr>
        <w:t>各仪控和电控线路与装置是否正确连接，并进行现场模拟信号动作；</w:t>
      </w:r>
    </w:p>
    <w:p>
      <w:pPr>
        <w:pStyle w:val="61"/>
        <w:numPr>
          <w:ilvl w:val="0"/>
          <w:numId w:val="21"/>
        </w:numPr>
      </w:pPr>
      <w:r>
        <w:rPr>
          <w:rFonts w:hint="eastAsia"/>
        </w:rPr>
        <w:t>检查紧急切断阀工作的准确到位，从开到关联锁时间应小于1秒；</w:t>
      </w:r>
    </w:p>
    <w:p>
      <w:pPr>
        <w:pStyle w:val="61"/>
        <w:numPr>
          <w:ilvl w:val="0"/>
          <w:numId w:val="21"/>
        </w:numPr>
      </w:pPr>
      <w:r>
        <w:rPr>
          <w:rFonts w:hint="eastAsia"/>
        </w:rPr>
        <w:t>检查增压机回流阀工作，手动操作从全开到全关应不小于15秒，全关到全开联锁时间应小于1秒；</w:t>
      </w:r>
    </w:p>
    <w:p>
      <w:pPr>
        <w:pStyle w:val="61"/>
        <w:numPr>
          <w:ilvl w:val="0"/>
          <w:numId w:val="21"/>
        </w:numPr>
      </w:pPr>
      <w:r>
        <w:rPr>
          <w:rFonts w:hint="eastAsia"/>
        </w:rPr>
        <w:t>膨胀机入口气体露点测试合格；</w:t>
      </w:r>
    </w:p>
    <w:p>
      <w:pPr>
        <w:pStyle w:val="61"/>
        <w:numPr>
          <w:ilvl w:val="0"/>
          <w:numId w:val="21"/>
        </w:numPr>
      </w:pPr>
      <w:r>
        <w:rPr>
          <w:rFonts w:hint="eastAsia"/>
        </w:rPr>
        <w:t>对于电机制动膨胀机，应检查电机旋转方向；</w:t>
      </w:r>
    </w:p>
    <w:p>
      <w:pPr>
        <w:pStyle w:val="61"/>
        <w:numPr>
          <w:ilvl w:val="0"/>
          <w:numId w:val="21"/>
        </w:numPr>
      </w:pPr>
      <w:r>
        <w:rPr>
          <w:rFonts w:hint="eastAsia"/>
        </w:rPr>
        <w:t>对于液体膨胀发电机组，应检查膨胀机入口前介质的过冷度。</w:t>
      </w:r>
    </w:p>
    <w:p>
      <w:pPr>
        <w:pStyle w:val="48"/>
        <w:widowControl w:val="0"/>
        <w:spacing w:before="156" w:after="156"/>
      </w:pPr>
      <w:r>
        <w:rPr>
          <w:rFonts w:hint="eastAsia"/>
        </w:rPr>
        <w:t>启动</w:t>
      </w:r>
    </w:p>
    <w:p>
      <w:pPr>
        <w:pStyle w:val="115"/>
        <w:widowControl w:val="0"/>
        <w:jc w:val="both"/>
      </w:pPr>
      <w:r>
        <w:rPr>
          <w:rFonts w:hint="eastAsia"/>
        </w:rPr>
        <w:t>启动过程应密切关注膨胀机的转速、轴承温度、振动、位移等参数的变化。</w:t>
      </w:r>
    </w:p>
    <w:p>
      <w:pPr>
        <w:pStyle w:val="115"/>
        <w:widowControl w:val="0"/>
        <w:jc w:val="both"/>
      </w:pPr>
      <w:r>
        <w:rPr>
          <w:rFonts w:hint="eastAsia"/>
        </w:rPr>
        <w:t>对于油膜轴承膨胀机应避免在低转速下长期运行。</w:t>
      </w:r>
    </w:p>
    <w:p>
      <w:pPr>
        <w:pStyle w:val="115"/>
        <w:widowControl w:val="0"/>
        <w:jc w:val="both"/>
      </w:pPr>
      <w:r>
        <w:rPr>
          <w:rFonts w:hint="eastAsia"/>
        </w:rPr>
        <w:t>在升速过程中应密切关注膨胀机在过临界转速的振动情况，升速时应快速通过，避免长时间停留造成振动过大，损坏机器。</w:t>
      </w:r>
    </w:p>
    <w:p>
      <w:pPr>
        <w:pStyle w:val="115"/>
        <w:widowControl w:val="0"/>
        <w:jc w:val="both"/>
      </w:pPr>
      <w:r>
        <w:rPr>
          <w:rFonts w:hint="eastAsia"/>
        </w:rPr>
        <w:t>由于间隙压力和止推轴承的负荷有直接关系，在启动过程中应密切关注间隙压力和止推轴承温度的变化。</w:t>
      </w:r>
    </w:p>
    <w:p>
      <w:pPr>
        <w:pStyle w:val="115"/>
        <w:widowControl w:val="0"/>
        <w:jc w:val="both"/>
      </w:pPr>
      <w:r>
        <w:rPr>
          <w:rFonts w:hint="eastAsia"/>
        </w:rPr>
        <w:t>对于出口工作在两相区的膨胀机，应密切关注膨胀机轴振动和出口温度、压力的变化，及时调整膨胀机进口参数，避免出现大量带液，损坏叶轮。</w:t>
      </w:r>
    </w:p>
    <w:p>
      <w:pPr>
        <w:pStyle w:val="115"/>
        <w:widowControl w:val="0"/>
        <w:jc w:val="both"/>
      </w:pPr>
      <w:r>
        <w:rPr>
          <w:rFonts w:hint="eastAsia"/>
        </w:rPr>
        <w:t>对于电机制动膨胀机在自动合闸并网后，应再稍微开大喷嘴，防止机组出现逆功率停车。</w:t>
      </w:r>
    </w:p>
    <w:p>
      <w:pPr>
        <w:pStyle w:val="48"/>
        <w:widowControl w:val="0"/>
        <w:spacing w:before="156" w:after="156"/>
      </w:pPr>
      <w:r>
        <w:rPr>
          <w:rFonts w:hint="eastAsia"/>
        </w:rPr>
        <w:t>运行操作和监测维护</w:t>
      </w:r>
    </w:p>
    <w:p>
      <w:pPr>
        <w:pStyle w:val="115"/>
        <w:widowControl w:val="0"/>
        <w:jc w:val="both"/>
      </w:pPr>
      <w:r>
        <w:rPr>
          <w:rFonts w:hint="eastAsia"/>
        </w:rPr>
        <w:t>膨胀机运转时应密切关注各轴承温度、轴振动、轴位移等参数的变化。</w:t>
      </w:r>
    </w:p>
    <w:p>
      <w:pPr>
        <w:pStyle w:val="115"/>
        <w:widowControl w:val="0"/>
        <w:jc w:val="both"/>
      </w:pPr>
      <w:r>
        <w:rPr>
          <w:rFonts w:hint="eastAsia"/>
        </w:rPr>
        <w:t>膨胀机运转时应密切关注供油压力、供油温度、内轴承温度变化等参数。</w:t>
      </w:r>
    </w:p>
    <w:p>
      <w:pPr>
        <w:pStyle w:val="115"/>
        <w:widowControl w:val="0"/>
        <w:jc w:val="both"/>
      </w:pPr>
      <w:r>
        <w:rPr>
          <w:rFonts w:hint="eastAsia"/>
        </w:rPr>
        <w:t xml:space="preserve">膨胀机组应进行巡检、定期化验和更换润滑油。 </w:t>
      </w:r>
    </w:p>
    <w:p>
      <w:pPr>
        <w:pStyle w:val="115"/>
        <w:widowControl w:val="0"/>
        <w:jc w:val="both"/>
      </w:pPr>
      <w:r>
        <w:rPr>
          <w:rFonts w:hint="eastAsia"/>
        </w:rPr>
        <w:t>根据泄漏量的大小，及时更换密封圈和轴密封等易损件。</w:t>
      </w:r>
    </w:p>
    <w:p>
      <w:pPr>
        <w:pStyle w:val="48"/>
        <w:widowControl w:val="0"/>
        <w:spacing w:before="156" w:after="156"/>
      </w:pPr>
      <w:r>
        <w:rPr>
          <w:rFonts w:hint="eastAsia"/>
        </w:rPr>
        <w:t>停车</w:t>
      </w:r>
    </w:p>
    <w:p>
      <w:pPr>
        <w:pStyle w:val="115"/>
        <w:widowControl w:val="0"/>
        <w:jc w:val="both"/>
      </w:pPr>
      <w:r>
        <w:rPr>
          <w:rFonts w:hint="eastAsia"/>
        </w:rPr>
        <w:t>应按照操作规程进行停车操作。</w:t>
      </w:r>
    </w:p>
    <w:p>
      <w:pPr>
        <w:pStyle w:val="115"/>
        <w:widowControl w:val="0"/>
        <w:jc w:val="both"/>
      </w:pPr>
      <w:r>
        <w:rPr>
          <w:rFonts w:hint="eastAsia"/>
        </w:rPr>
        <w:t>应通过打开增压机回流阀、关小喷嘴、减少膨胀机入口流量逐步降低膨胀机转速至零。</w:t>
      </w:r>
    </w:p>
    <w:p>
      <w:pPr>
        <w:pStyle w:val="115"/>
        <w:widowControl w:val="0"/>
        <w:jc w:val="both"/>
      </w:pPr>
      <w:r>
        <w:rPr>
          <w:rFonts w:hint="eastAsia"/>
        </w:rPr>
        <w:t>停机后关闭喷嘴叶片和紧急切断阀。</w:t>
      </w:r>
    </w:p>
    <w:p>
      <w:pPr>
        <w:pStyle w:val="115"/>
        <w:widowControl w:val="0"/>
        <w:jc w:val="both"/>
      </w:pPr>
      <w:r>
        <w:rPr>
          <w:rFonts w:hint="eastAsia"/>
        </w:rPr>
        <w:t>依次关闭增压机进、出口阀和膨胀机进、出口阀。</w:t>
      </w:r>
    </w:p>
    <w:p>
      <w:pPr>
        <w:pStyle w:val="115"/>
        <w:widowControl w:val="0"/>
        <w:jc w:val="both"/>
      </w:pPr>
      <w:r>
        <w:rPr>
          <w:rFonts w:hint="eastAsia"/>
        </w:rPr>
        <w:t xml:space="preserve">关停润滑系统15分钟后切断密封气源。 </w:t>
      </w:r>
    </w:p>
    <w:p>
      <w:pPr>
        <w:pStyle w:val="115"/>
        <w:widowControl w:val="0"/>
        <w:jc w:val="both"/>
      </w:pPr>
      <w:r>
        <w:rPr>
          <w:rFonts w:hint="eastAsia"/>
        </w:rPr>
        <w:t>气体轴承膨胀机应在机组停止转动1</w:t>
      </w:r>
      <w:r>
        <w:t>5</w:t>
      </w:r>
      <w:r>
        <w:rPr>
          <w:rFonts w:hint="eastAsia"/>
        </w:rPr>
        <w:t>分钟后切断轴承和密封气源。</w:t>
      </w:r>
    </w:p>
    <w:p>
      <w:pPr>
        <w:pStyle w:val="48"/>
        <w:widowControl w:val="0"/>
        <w:spacing w:before="156" w:after="156"/>
      </w:pPr>
      <w:r>
        <w:rPr>
          <w:rFonts w:hint="eastAsia"/>
        </w:rPr>
        <w:t>加温</w:t>
      </w:r>
    </w:p>
    <w:p>
      <w:pPr>
        <w:ind w:firstLine="420" w:firstLineChars="200"/>
      </w:pPr>
      <w:r>
        <w:rPr>
          <w:rFonts w:hint="eastAsia"/>
        </w:rPr>
        <w:t>长期停车后，应对膨胀机进行加温解冻，加温过程应确保以下事项：</w:t>
      </w:r>
    </w:p>
    <w:p>
      <w:pPr>
        <w:pStyle w:val="61"/>
        <w:widowControl w:val="0"/>
        <w:numPr>
          <w:ilvl w:val="0"/>
          <w:numId w:val="22"/>
        </w:numPr>
      </w:pPr>
      <w:r>
        <w:rPr>
          <w:rFonts w:hint="eastAsia"/>
        </w:rPr>
        <w:t>确保密封气、润滑油供应和仪控系统为工作状态；</w:t>
      </w:r>
    </w:p>
    <w:p>
      <w:pPr>
        <w:pStyle w:val="61"/>
        <w:widowControl w:val="0"/>
        <w:numPr>
          <w:ilvl w:val="0"/>
          <w:numId w:val="22"/>
        </w:numPr>
      </w:pPr>
      <w:r>
        <w:rPr>
          <w:rFonts w:hint="eastAsia"/>
        </w:rPr>
        <w:t>膨胀机进、出口阀处于关闭状态；</w:t>
      </w:r>
    </w:p>
    <w:p>
      <w:pPr>
        <w:pStyle w:val="61"/>
        <w:widowControl w:val="0"/>
        <w:numPr>
          <w:ilvl w:val="0"/>
          <w:numId w:val="22"/>
        </w:numPr>
      </w:pPr>
      <w:r>
        <w:rPr>
          <w:rFonts w:hint="eastAsia"/>
        </w:rPr>
        <w:t>加温气体流向与正常流向相反，在整个加温过程中，应对加温气量进行控制，确保在加温过程透平转子不出现反转；</w:t>
      </w:r>
    </w:p>
    <w:p>
      <w:pPr>
        <w:pStyle w:val="61"/>
        <w:widowControl w:val="0"/>
        <w:numPr>
          <w:ilvl w:val="0"/>
          <w:numId w:val="22"/>
        </w:numPr>
      </w:pPr>
      <w:r>
        <w:rPr>
          <w:rFonts w:hint="eastAsia"/>
        </w:rPr>
        <w:t>在分馏塔继续运行的情况下，长期停车期间会有少量冷气体漏入，导致轴承开车时冷冻抱死，在下次开车时应先对膨胀机进行加温吹扫。</w:t>
      </w:r>
    </w:p>
    <w:p>
      <w:pPr>
        <w:pStyle w:val="47"/>
        <w:widowControl w:val="0"/>
        <w:spacing w:before="312" w:after="312"/>
      </w:pPr>
      <w:bookmarkStart w:id="129" w:name="_Toc44336249"/>
      <w:bookmarkStart w:id="130" w:name="_Toc51244025"/>
      <w:bookmarkStart w:id="131" w:name="_Toc45627595"/>
      <w:bookmarkStart w:id="132" w:name="_Toc54434958"/>
      <w:bookmarkStart w:id="133" w:name="_Toc54447477"/>
      <w:bookmarkStart w:id="134" w:name="_Toc43218594"/>
      <w:bookmarkStart w:id="135" w:name="_Toc44335571"/>
      <w:bookmarkStart w:id="136" w:name="_Toc54446524"/>
      <w:bookmarkStart w:id="137" w:name="_Toc43218322"/>
      <w:bookmarkStart w:id="138" w:name="_Toc46239386"/>
      <w:bookmarkStart w:id="139" w:name="_Toc43215138"/>
      <w:bookmarkStart w:id="140" w:name="_Toc54355459"/>
      <w:bookmarkStart w:id="141" w:name="_Toc44335668"/>
      <w:r>
        <w:rPr>
          <w:rFonts w:hint="eastAsia"/>
        </w:rPr>
        <w:t>低温泵</w:t>
      </w:r>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44"/>
        <w:widowControl w:val="0"/>
        <w:spacing w:before="156" w:after="156"/>
      </w:pPr>
      <w:r>
        <w:t>一般要求</w:t>
      </w:r>
    </w:p>
    <w:p>
      <w:pPr>
        <w:pStyle w:val="65"/>
        <w:widowControl w:val="0"/>
        <w:jc w:val="both"/>
      </w:pPr>
      <w:r>
        <w:t>零部件选材</w:t>
      </w:r>
      <w:r>
        <w:rPr>
          <w:rFonts w:hint="eastAsia"/>
        </w:rPr>
        <w:t>应</w:t>
      </w:r>
      <w:r>
        <w:t>保证</w:t>
      </w:r>
      <w:r>
        <w:rPr>
          <w:rFonts w:hint="eastAsia"/>
        </w:rPr>
        <w:t>其</w:t>
      </w:r>
      <w:r>
        <w:t>在相应的运行温度、压力和气体环境下有足够好的性能， 包括机械</w:t>
      </w:r>
      <w:r>
        <w:rPr>
          <w:rFonts w:hint="eastAsia"/>
        </w:rPr>
        <w:t>、</w:t>
      </w:r>
      <w:r>
        <w:t>低温</w:t>
      </w:r>
      <w:r>
        <w:rPr>
          <w:rFonts w:hint="eastAsia"/>
        </w:rPr>
        <w:t>、润滑、</w:t>
      </w:r>
      <w:r>
        <w:t>兼容等性能。</w:t>
      </w:r>
    </w:p>
    <w:p>
      <w:pPr>
        <w:pStyle w:val="65"/>
        <w:widowControl w:val="0"/>
        <w:jc w:val="both"/>
      </w:pPr>
      <w:r>
        <w:t>材料</w:t>
      </w:r>
      <w:r>
        <w:rPr>
          <w:rFonts w:hint="eastAsia"/>
        </w:rPr>
        <w:t>与氧</w:t>
      </w:r>
      <w:r>
        <w:t>兼容性</w:t>
      </w:r>
      <w:r>
        <w:rPr>
          <w:rFonts w:hint="eastAsia"/>
        </w:rPr>
        <w:t>应</w:t>
      </w:r>
      <w:r>
        <w:t>符合GB/T 31481</w:t>
      </w:r>
      <w:r>
        <w:rPr>
          <w:rFonts w:hint="eastAsia"/>
        </w:rPr>
        <w:t>、</w:t>
      </w:r>
      <w:r>
        <w:t>ISO 21010</w:t>
      </w:r>
      <w:r>
        <w:rPr>
          <w:rFonts w:hint="eastAsia"/>
        </w:rPr>
        <w:t>的</w:t>
      </w:r>
      <w:r>
        <w:t>规定，避免使用非金属材料及油脂</w:t>
      </w:r>
      <w:r>
        <w:rPr>
          <w:rFonts w:hint="eastAsia"/>
        </w:rPr>
        <w:t>，禁止使用铝和铝青铜等着火温度较低的材料</w:t>
      </w:r>
      <w:r>
        <w:t>。</w:t>
      </w:r>
    </w:p>
    <w:p>
      <w:pPr>
        <w:pStyle w:val="44"/>
        <w:widowControl w:val="0"/>
        <w:spacing w:before="156" w:after="156"/>
      </w:pPr>
      <w:r>
        <w:t>设计和安装</w:t>
      </w:r>
    </w:p>
    <w:p>
      <w:pPr>
        <w:pStyle w:val="65"/>
        <w:widowControl w:val="0"/>
        <w:jc w:val="both"/>
      </w:pPr>
      <w:r>
        <w:rPr>
          <w:rFonts w:hint="eastAsia"/>
        </w:rPr>
        <w:t>吸入</w:t>
      </w:r>
      <w:r>
        <w:t>管道宜短直</w:t>
      </w:r>
      <w:r>
        <w:rPr>
          <w:rFonts w:hint="eastAsia"/>
        </w:rPr>
        <w:t>、</w:t>
      </w:r>
      <w:r>
        <w:t>少弯曲</w:t>
      </w:r>
      <w:r>
        <w:rPr>
          <w:rFonts w:hint="eastAsia"/>
        </w:rPr>
        <w:t>，</w:t>
      </w:r>
      <w:r>
        <w:t>应</w:t>
      </w:r>
      <w:r>
        <w:rPr>
          <w:rFonts w:hint="eastAsia"/>
        </w:rPr>
        <w:t>保持工作状态</w:t>
      </w:r>
      <w:r>
        <w:t>所需的</w:t>
      </w:r>
      <w:r>
        <w:rPr>
          <w:rFonts w:hint="eastAsia"/>
        </w:rPr>
        <w:t>净</w:t>
      </w:r>
      <w:r>
        <w:t>吸入</w:t>
      </w:r>
      <w:r>
        <w:rPr>
          <w:rFonts w:hint="eastAsia"/>
        </w:rPr>
        <w:t>压头</w:t>
      </w:r>
      <w:r>
        <w:t>（</w:t>
      </w:r>
      <w:r>
        <w:rPr>
          <w:rFonts w:hint="eastAsia"/>
        </w:rPr>
        <w:t>NPSH）</w:t>
      </w:r>
      <w:r>
        <w:t>。</w:t>
      </w:r>
    </w:p>
    <w:p>
      <w:pPr>
        <w:pStyle w:val="65"/>
        <w:widowControl w:val="0"/>
        <w:jc w:val="both"/>
      </w:pPr>
      <w:r>
        <w:rPr>
          <w:rFonts w:hint="eastAsia"/>
        </w:rPr>
        <w:t>泵前管道宜倾斜配置，以将产生的蒸汽返回，避免管道系统中出现可能积存气体的高点。</w:t>
      </w:r>
    </w:p>
    <w:p>
      <w:pPr>
        <w:pStyle w:val="65"/>
        <w:widowControl w:val="0"/>
        <w:jc w:val="both"/>
      </w:pPr>
      <w:r>
        <w:rPr>
          <w:rFonts w:hint="eastAsia"/>
        </w:rPr>
        <w:t>通往低温排液系统的管道应有一定的坡度，防止气封。</w:t>
      </w:r>
    </w:p>
    <w:p>
      <w:pPr>
        <w:pStyle w:val="65"/>
        <w:widowControl w:val="0"/>
        <w:jc w:val="both"/>
      </w:pPr>
      <w:r>
        <w:rPr>
          <w:rFonts w:hint="eastAsia"/>
        </w:rPr>
        <w:t>管道配置应避免死区蒸发造成碳氢化合物积聚。</w:t>
      </w:r>
    </w:p>
    <w:p>
      <w:pPr>
        <w:pStyle w:val="65"/>
        <w:widowControl w:val="0"/>
        <w:jc w:val="both"/>
      </w:pPr>
      <w:r>
        <w:rPr>
          <w:rFonts w:hint="eastAsia"/>
        </w:rPr>
        <w:t>吸入和排出管道连接到泵时，应确保在环境温度、低温运行或备用条件下，管道应力不超过泵制造商建议的泵法兰载荷。</w:t>
      </w:r>
    </w:p>
    <w:p>
      <w:pPr>
        <w:pStyle w:val="65"/>
        <w:widowControl w:val="0"/>
        <w:jc w:val="both"/>
      </w:pPr>
      <w:r>
        <w:rPr>
          <w:rFonts w:hint="eastAsia"/>
        </w:rPr>
        <w:t>当使用挠性软管或波纹管时，应考虑安装位置与连接管道间的变形应力补偿。</w:t>
      </w:r>
    </w:p>
    <w:p>
      <w:pPr>
        <w:pStyle w:val="65"/>
        <w:widowControl w:val="0"/>
        <w:jc w:val="both"/>
      </w:pPr>
      <w:r>
        <w:rPr>
          <w:rFonts w:hint="eastAsia"/>
        </w:rPr>
        <w:t>对于高压低温泵，应考虑补偿由于温差和机械负载而引起的突变应力。</w:t>
      </w:r>
    </w:p>
    <w:p>
      <w:pPr>
        <w:pStyle w:val="65"/>
        <w:widowControl w:val="0"/>
        <w:jc w:val="both"/>
      </w:pPr>
      <w:r>
        <w:rPr>
          <w:rFonts w:hint="eastAsia"/>
        </w:rPr>
        <w:t>加温吹扫气体系统应完全独立于密封系统，防止氧气进入轴承。</w:t>
      </w:r>
    </w:p>
    <w:p>
      <w:pPr>
        <w:pStyle w:val="65"/>
      </w:pPr>
      <w:r>
        <w:rPr>
          <w:rFonts w:hint="eastAsia"/>
        </w:rPr>
        <w:t>不应在无密封气的情况下运转泵，应通过适当的流量、压力以及联锁装置或操作程序来确保密封气正常。</w:t>
      </w:r>
    </w:p>
    <w:p>
      <w:pPr>
        <w:pStyle w:val="65"/>
        <w:widowControl w:val="0"/>
        <w:jc w:val="both"/>
      </w:pPr>
      <w:r>
        <w:rPr>
          <w:rFonts w:hint="eastAsia"/>
        </w:rPr>
        <w:t>泵的启、停和控制装置应设置在便于人员操作的位置。</w:t>
      </w:r>
    </w:p>
    <w:p>
      <w:pPr>
        <w:pStyle w:val="44"/>
        <w:widowControl w:val="0"/>
        <w:spacing w:before="156" w:after="156"/>
      </w:pPr>
      <w:r>
        <w:t>泵</w:t>
      </w:r>
      <w:r>
        <w:rPr>
          <w:rFonts w:hint="eastAsia"/>
        </w:rPr>
        <w:t>的操作</w:t>
      </w:r>
    </w:p>
    <w:p>
      <w:pPr>
        <w:pStyle w:val="48"/>
        <w:widowControl w:val="0"/>
        <w:spacing w:before="156" w:after="156"/>
      </w:pPr>
      <w:r>
        <w:rPr>
          <w:rFonts w:hint="eastAsia"/>
        </w:rPr>
        <w:t>启动条件</w:t>
      </w:r>
    </w:p>
    <w:p>
      <w:pPr>
        <w:pStyle w:val="24"/>
        <w:widowControl w:val="0"/>
      </w:pPr>
      <w:r>
        <w:rPr>
          <w:rFonts w:hint="eastAsia"/>
        </w:rPr>
        <w:t>在启动泵之前，应确认以下内容：</w:t>
      </w:r>
    </w:p>
    <w:p>
      <w:pPr>
        <w:pStyle w:val="50"/>
      </w:pPr>
      <w:r>
        <w:rPr>
          <w:rFonts w:hint="eastAsia"/>
        </w:rPr>
        <w:t>密封气体系统完好；</w:t>
      </w:r>
    </w:p>
    <w:p>
      <w:pPr>
        <w:pStyle w:val="50"/>
      </w:pPr>
      <w:r>
        <w:rPr>
          <w:rFonts w:hint="eastAsia"/>
        </w:rPr>
        <w:t>电机的轴承温度正常；</w:t>
      </w:r>
    </w:p>
    <w:p>
      <w:pPr>
        <w:pStyle w:val="50"/>
      </w:pPr>
      <w:r>
        <w:rPr>
          <w:rFonts w:hint="eastAsia"/>
        </w:rPr>
        <w:t>仪表气和电气投用正常；</w:t>
      </w:r>
    </w:p>
    <w:p>
      <w:pPr>
        <w:pStyle w:val="50"/>
      </w:pPr>
      <w:r>
        <w:rPr>
          <w:rFonts w:hint="eastAsia"/>
        </w:rPr>
        <w:t>密封气和吹扫气满足条件；</w:t>
      </w:r>
    </w:p>
    <w:p>
      <w:pPr>
        <w:pStyle w:val="50"/>
      </w:pPr>
      <w:r>
        <w:rPr>
          <w:rFonts w:hint="eastAsia"/>
        </w:rPr>
        <w:t>冷、热端中间密封气体温度正常；</w:t>
      </w:r>
    </w:p>
    <w:p>
      <w:pPr>
        <w:pStyle w:val="50"/>
      </w:pPr>
      <w:r>
        <w:rPr>
          <w:rFonts w:hint="eastAsia"/>
        </w:rPr>
        <w:t>自动排气阀和排液阀关闭，出口阀门处于关闭状态。</w:t>
      </w:r>
    </w:p>
    <w:p>
      <w:pPr>
        <w:pStyle w:val="48"/>
        <w:widowControl w:val="0"/>
        <w:spacing w:before="156" w:after="156"/>
      </w:pPr>
      <w:r>
        <w:rPr>
          <w:rFonts w:hint="eastAsia"/>
        </w:rPr>
        <w:t>泵预冷</w:t>
      </w:r>
    </w:p>
    <w:p>
      <w:pPr>
        <w:pStyle w:val="115"/>
        <w:widowControl w:val="0"/>
        <w:jc w:val="both"/>
      </w:pPr>
      <w:r>
        <w:rPr>
          <w:rFonts w:hint="eastAsia"/>
        </w:rPr>
        <w:t>泵体加温后露点在-</w:t>
      </w:r>
      <w:r>
        <w:t>50</w:t>
      </w:r>
      <w:r>
        <w:rPr>
          <w:rFonts w:hint="eastAsia"/>
        </w:rPr>
        <w:t>℃以上。</w:t>
      </w:r>
    </w:p>
    <w:p>
      <w:pPr>
        <w:pStyle w:val="115"/>
        <w:widowControl w:val="0"/>
        <w:jc w:val="both"/>
      </w:pPr>
      <w:r>
        <w:rPr>
          <w:rFonts w:hint="eastAsia"/>
        </w:rPr>
        <w:t>泵送出阀关闭。</w:t>
      </w:r>
    </w:p>
    <w:p>
      <w:pPr>
        <w:pStyle w:val="115"/>
        <w:widowControl w:val="0"/>
        <w:jc w:val="both"/>
      </w:pPr>
      <w:r>
        <w:rPr>
          <w:rFonts w:hint="eastAsia"/>
        </w:rPr>
        <w:t>碳氢化合物排放阀关闭。</w:t>
      </w:r>
    </w:p>
    <w:p>
      <w:pPr>
        <w:pStyle w:val="115"/>
        <w:widowControl w:val="0"/>
      </w:pPr>
      <w:r>
        <w:rPr>
          <w:rFonts w:hint="eastAsia"/>
        </w:rPr>
        <w:t>关闭泵入口排放导淋，缓慢打开入口阀，液体进入泵腔，控制出口温度下降速率不超过100℃/h，根据厂家建议时长冷泵，一般多级泵为2小时。</w:t>
      </w:r>
    </w:p>
    <w:p>
      <w:pPr>
        <w:pStyle w:val="115"/>
        <w:widowControl w:val="0"/>
        <w:jc w:val="both"/>
      </w:pPr>
      <w:r>
        <w:rPr>
          <w:rFonts w:hint="eastAsia"/>
        </w:rPr>
        <w:t>进入泵腔后，低温液体急剧气化，沿回流阀回到储罐，期间应关注储罐压力。</w:t>
      </w:r>
    </w:p>
    <w:p>
      <w:pPr>
        <w:pStyle w:val="115"/>
        <w:widowControl w:val="0"/>
        <w:jc w:val="both"/>
      </w:pPr>
      <w:r>
        <w:rPr>
          <w:rFonts w:hint="eastAsia"/>
        </w:rPr>
        <w:t>泵出口温度低于-170℃且冷泵时间达到后，入口阀自动全开，回流阀全开。</w:t>
      </w:r>
    </w:p>
    <w:p>
      <w:pPr>
        <w:pStyle w:val="115"/>
        <w:widowControl w:val="0"/>
        <w:jc w:val="both"/>
      </w:pPr>
      <w:r>
        <w:rPr>
          <w:rFonts w:hint="eastAsia"/>
        </w:rPr>
        <w:t>冷泵期间加强现场巡检，如发现泄漏，应停止冷泵，消除漏点后继续冷泵。</w:t>
      </w:r>
    </w:p>
    <w:p>
      <w:pPr>
        <w:pStyle w:val="48"/>
        <w:widowControl w:val="0"/>
        <w:spacing w:before="156" w:after="156"/>
        <w:jc w:val="both"/>
      </w:pPr>
      <w:r>
        <w:rPr>
          <w:rFonts w:hint="eastAsia"/>
        </w:rPr>
        <w:t>运行监测</w:t>
      </w:r>
    </w:p>
    <w:p>
      <w:pPr>
        <w:pStyle w:val="24"/>
        <w:widowControl w:val="0"/>
      </w:pPr>
      <w:r>
        <w:rPr>
          <w:rFonts w:hint="eastAsia"/>
        </w:rPr>
        <w:t>泵的运行过程中，应监测以下内容：</w:t>
      </w:r>
    </w:p>
    <w:p>
      <w:pPr>
        <w:pStyle w:val="50"/>
      </w:pPr>
      <w:r>
        <w:rPr>
          <w:rFonts w:hint="eastAsia"/>
        </w:rPr>
        <w:t>泵的吸入、排出压力；</w:t>
      </w:r>
    </w:p>
    <w:p>
      <w:pPr>
        <w:pStyle w:val="50"/>
      </w:pPr>
      <w:r>
        <w:rPr>
          <w:rFonts w:hint="eastAsia"/>
        </w:rPr>
        <w:t>泵吸入口滤网压降；</w:t>
      </w:r>
    </w:p>
    <w:p>
      <w:pPr>
        <w:pStyle w:val="50"/>
      </w:pPr>
      <w:r>
        <w:rPr>
          <w:rFonts w:hint="eastAsia"/>
        </w:rPr>
        <w:t>泵的排出流量和电机电流；</w:t>
      </w:r>
    </w:p>
    <w:p>
      <w:pPr>
        <w:pStyle w:val="50"/>
      </w:pPr>
      <w:r>
        <w:rPr>
          <w:rFonts w:hint="eastAsia"/>
        </w:rPr>
        <w:t>吹扫/排放气流量；</w:t>
      </w:r>
    </w:p>
    <w:p>
      <w:pPr>
        <w:pStyle w:val="50"/>
      </w:pPr>
      <w:r>
        <w:rPr>
          <w:rFonts w:hint="eastAsia"/>
        </w:rPr>
        <w:t>轴承温度和密封泄漏温度；</w:t>
      </w:r>
    </w:p>
    <w:p>
      <w:pPr>
        <w:pStyle w:val="50"/>
      </w:pPr>
      <w:r>
        <w:rPr>
          <w:rFonts w:hint="eastAsia"/>
        </w:rPr>
        <w:t xml:space="preserve">转速与振动检测。 </w:t>
      </w:r>
    </w:p>
    <w:p>
      <w:pPr>
        <w:pStyle w:val="48"/>
        <w:widowControl w:val="0"/>
        <w:spacing w:before="156" w:after="156"/>
      </w:pPr>
      <w:r>
        <w:rPr>
          <w:rFonts w:hint="eastAsia"/>
        </w:rPr>
        <w:t>泵联锁条件</w:t>
      </w:r>
    </w:p>
    <w:p>
      <w:pPr>
        <w:pStyle w:val="115"/>
        <w:widowControl w:val="0"/>
        <w:jc w:val="both"/>
      </w:pPr>
      <w:r>
        <w:rPr>
          <w:rFonts w:hint="eastAsia"/>
        </w:rPr>
        <w:t>出现以下情况时，泵联锁保护装置应跳闸：</w:t>
      </w:r>
    </w:p>
    <w:p>
      <w:pPr>
        <w:pStyle w:val="50"/>
      </w:pPr>
      <w:r>
        <w:rPr>
          <w:rFonts w:hint="eastAsia"/>
        </w:rPr>
        <w:t>按下紧急停车按钮（现场）；</w:t>
      </w:r>
    </w:p>
    <w:p>
      <w:pPr>
        <w:pStyle w:val="50"/>
      </w:pPr>
      <w:r>
        <w:rPr>
          <w:rFonts w:hint="eastAsia"/>
        </w:rPr>
        <w:t>电气故障；</w:t>
      </w:r>
    </w:p>
    <w:p>
      <w:pPr>
        <w:pStyle w:val="50"/>
      </w:pPr>
      <w:r>
        <w:rPr>
          <w:rFonts w:hint="eastAsia"/>
        </w:rPr>
        <w:t>气蚀保护（包括低电流、低排压或差压低低联锁）；</w:t>
      </w:r>
    </w:p>
    <w:p>
      <w:pPr>
        <w:pStyle w:val="50"/>
      </w:pPr>
      <w:r>
        <w:rPr>
          <w:rFonts w:hint="eastAsia"/>
        </w:rPr>
        <w:t>密封气压力低低联锁 ；</w:t>
      </w:r>
    </w:p>
    <w:p>
      <w:pPr>
        <w:pStyle w:val="50"/>
      </w:pPr>
      <w:r>
        <w:rPr>
          <w:rFonts w:hint="eastAsia"/>
        </w:rPr>
        <w:t>排气压力高高联锁（用于变频驱动的液氧泵）；</w:t>
      </w:r>
    </w:p>
    <w:p>
      <w:pPr>
        <w:pStyle w:val="50"/>
      </w:pPr>
      <w:r>
        <w:rPr>
          <w:rFonts w:hint="eastAsia"/>
        </w:rPr>
        <w:t>电机驱动端轴承温度高高或低低联锁；</w:t>
      </w:r>
    </w:p>
    <w:p>
      <w:pPr>
        <w:pStyle w:val="50"/>
      </w:pPr>
      <w:r>
        <w:rPr>
          <w:rFonts w:hint="eastAsia"/>
        </w:rPr>
        <w:t>密封气系统的温度极低或温度极高 ；</w:t>
      </w:r>
    </w:p>
    <w:p>
      <w:pPr>
        <w:pStyle w:val="50"/>
      </w:pPr>
      <w:r>
        <w:rPr>
          <w:rFonts w:hint="eastAsia"/>
        </w:rPr>
        <w:t>气化器出口温度低于-20℃。</w:t>
      </w:r>
    </w:p>
    <w:p>
      <w:pPr>
        <w:pStyle w:val="115"/>
        <w:widowControl w:val="0"/>
        <w:jc w:val="both"/>
      </w:pPr>
      <w:r>
        <w:rPr>
          <w:rFonts w:hint="eastAsia"/>
        </w:rPr>
        <w:t>当液氧泵跳闸时，基本过程控制系统（BPCS）应至少采取以下措施自动隔离泵系统：</w:t>
      </w:r>
    </w:p>
    <w:p>
      <w:pPr>
        <w:pStyle w:val="24"/>
        <w:widowControl w:val="0"/>
      </w:pPr>
      <w:r>
        <w:rPr>
          <w:rFonts w:hint="eastAsia"/>
        </w:rPr>
        <w:t>——停止液氧泵的电机；</w:t>
      </w:r>
    </w:p>
    <w:p>
      <w:pPr>
        <w:pStyle w:val="24"/>
        <w:widowControl w:val="0"/>
      </w:pPr>
      <w:r>
        <w:rPr>
          <w:rFonts w:hint="eastAsia"/>
        </w:rPr>
        <w:t>——关闭入口自动阀；</w:t>
      </w:r>
    </w:p>
    <w:p>
      <w:pPr>
        <w:pStyle w:val="24"/>
        <w:widowControl w:val="0"/>
      </w:pPr>
      <w:r>
        <w:rPr>
          <w:rFonts w:hint="eastAsia"/>
        </w:rPr>
        <w:t>——关闭自动排放阀（如果排放阀使用自动阀）；</w:t>
      </w:r>
    </w:p>
    <w:p>
      <w:pPr>
        <w:pStyle w:val="24"/>
        <w:widowControl w:val="0"/>
      </w:pPr>
      <w:r>
        <w:rPr>
          <w:rFonts w:hint="eastAsia"/>
        </w:rPr>
        <w:t>——保持密封气和吹扫气的正常供气。</w:t>
      </w:r>
    </w:p>
    <w:p>
      <w:pPr>
        <w:pStyle w:val="53"/>
        <w:widowControl w:val="0"/>
        <w:spacing w:before="156" w:beforeLines="0" w:after="156" w:afterLines="0"/>
        <w:jc w:val="both"/>
        <w:rPr>
          <w:rFonts w:ascii="宋体" w:hAnsi="宋体" w:eastAsia="宋体"/>
        </w:rPr>
      </w:pPr>
      <w:r>
        <w:rPr>
          <w:rFonts w:hint="eastAsia" w:ascii="宋体" w:hAnsi="宋体" w:eastAsia="宋体"/>
        </w:rPr>
        <w:t xml:space="preserve">对于使用变频驱动器（VFD）的泵，还需要考虑泵运行在最大和最小频率情况。 </w:t>
      </w:r>
    </w:p>
    <w:p>
      <w:pPr>
        <w:pStyle w:val="48"/>
        <w:widowControl w:val="0"/>
        <w:spacing w:before="156" w:after="156"/>
      </w:pPr>
      <w:r>
        <w:t>冷备用</w:t>
      </w:r>
    </w:p>
    <w:p>
      <w:pPr>
        <w:pStyle w:val="115"/>
        <w:widowControl w:val="0"/>
        <w:jc w:val="both"/>
      </w:pPr>
      <w:r>
        <w:rPr>
          <w:rFonts w:hint="eastAsia"/>
        </w:rPr>
        <w:t>应定期检查</w:t>
      </w:r>
      <w:r>
        <w:t>热端轴承润滑剂</w:t>
      </w:r>
      <w:r>
        <w:rPr>
          <w:rFonts w:hint="eastAsia"/>
        </w:rPr>
        <w:t>，以防</w:t>
      </w:r>
      <w:r>
        <w:t>冻结</w:t>
      </w:r>
      <w:r>
        <w:rPr>
          <w:rFonts w:hint="eastAsia"/>
        </w:rPr>
        <w:t>。</w:t>
      </w:r>
    </w:p>
    <w:p>
      <w:pPr>
        <w:pStyle w:val="115"/>
        <w:widowControl w:val="0"/>
        <w:jc w:val="both"/>
      </w:pPr>
      <w:r>
        <w:t>泵系统的低点会积聚有害</w:t>
      </w:r>
      <w:r>
        <w:rPr>
          <w:rFonts w:hint="eastAsia"/>
        </w:rPr>
        <w:t>杂质和</w:t>
      </w:r>
      <w:r>
        <w:t>碳氢化合物，应定期冲洗或制定例行采样分析</w:t>
      </w:r>
      <w:r>
        <w:rPr>
          <w:rFonts w:hint="eastAsia"/>
        </w:rPr>
        <w:t>规程，</w:t>
      </w:r>
      <w:r>
        <w:t>检测系统低点处碳氢化合物浓度超过极限值时，</w:t>
      </w:r>
      <w:r>
        <w:rPr>
          <w:rFonts w:hint="eastAsia"/>
        </w:rPr>
        <w:t>应</w:t>
      </w:r>
      <w:r>
        <w:t>排空泵系统</w:t>
      </w:r>
      <w:r>
        <w:rPr>
          <w:rFonts w:hint="eastAsia"/>
        </w:rPr>
        <w:t>液体</w:t>
      </w:r>
      <w:r>
        <w:t>。</w:t>
      </w:r>
    </w:p>
    <w:p>
      <w:pPr>
        <w:pStyle w:val="48"/>
        <w:widowControl w:val="0"/>
        <w:spacing w:before="156" w:after="156"/>
      </w:pPr>
      <w:r>
        <w:t>惰转</w:t>
      </w:r>
    </w:p>
    <w:p>
      <w:pPr>
        <w:ind w:firstLine="420" w:firstLineChars="200"/>
      </w:pPr>
      <w:r>
        <w:rPr>
          <w:rFonts w:hint="eastAsia"/>
        </w:rPr>
        <w:t>对惰转运行泵的状态应进行以下检查确认：</w:t>
      </w:r>
    </w:p>
    <w:p>
      <w:pPr>
        <w:pStyle w:val="50"/>
      </w:pPr>
      <w:r>
        <w:t>轴向轴承载荷；</w:t>
      </w:r>
    </w:p>
    <w:p>
      <w:pPr>
        <w:pStyle w:val="50"/>
      </w:pPr>
      <w:r>
        <w:t>密封系统，包括干式密封件；</w:t>
      </w:r>
    </w:p>
    <w:p>
      <w:pPr>
        <w:pStyle w:val="50"/>
      </w:pPr>
      <w:r>
        <w:t>变速驱动器；</w:t>
      </w:r>
    </w:p>
    <w:p>
      <w:pPr>
        <w:pStyle w:val="50"/>
      </w:pPr>
      <w:r>
        <w:t>电机冷却；</w:t>
      </w:r>
    </w:p>
    <w:p>
      <w:pPr>
        <w:pStyle w:val="50"/>
      </w:pPr>
      <w:r>
        <w:t>排气；</w:t>
      </w:r>
    </w:p>
    <w:p>
      <w:pPr>
        <w:pStyle w:val="50"/>
      </w:pPr>
      <w:r>
        <w:t>流量和气蚀控制等。</w:t>
      </w:r>
    </w:p>
    <w:p>
      <w:pPr>
        <w:pStyle w:val="48"/>
        <w:widowControl w:val="0"/>
        <w:spacing w:before="156" w:after="156"/>
      </w:pPr>
      <w:r>
        <w:t>结冰</w:t>
      </w:r>
    </w:p>
    <w:p>
      <w:pPr>
        <w:pStyle w:val="24"/>
        <w:widowControl w:val="0"/>
      </w:pPr>
      <w:r>
        <w:rPr>
          <w:rFonts w:hint="eastAsia"/>
        </w:rPr>
        <w:t>当发现泵结冰后，应停止泵的运转，</w:t>
      </w:r>
      <w:r>
        <w:t>并用干燥的空气或热气使冰融化除霜，或</w:t>
      </w:r>
      <w:r>
        <w:rPr>
          <w:rFonts w:hint="eastAsia"/>
        </w:rPr>
        <w:t>使用</w:t>
      </w:r>
      <w:r>
        <w:t>物理方法清除冰。</w:t>
      </w:r>
    </w:p>
    <w:p>
      <w:pPr>
        <w:pStyle w:val="44"/>
        <w:widowControl w:val="0"/>
        <w:spacing w:before="156" w:after="156"/>
      </w:pPr>
      <w:r>
        <w:t>维护</w:t>
      </w:r>
      <w:r>
        <w:rPr>
          <w:rFonts w:hint="eastAsia"/>
        </w:rPr>
        <w:t>与安全警示</w:t>
      </w:r>
    </w:p>
    <w:p>
      <w:pPr>
        <w:pStyle w:val="65"/>
        <w:widowControl w:val="0"/>
        <w:jc w:val="both"/>
      </w:pPr>
      <w:r>
        <w:rPr>
          <w:rFonts w:hint="eastAsia"/>
        </w:rPr>
        <w:t>立式液氧泵的冷端漏冷会导致泵的隔热层的碳钢壳破裂，引起该区域设备、管道、泵机电等热端部件的损坏，存在潜在危险，在无安全防护屏障条件下，该危险区域从泵延伸的距离应不小于4</w:t>
      </w:r>
      <w:r>
        <w:t>.6</w:t>
      </w:r>
      <w:r>
        <w:rPr>
          <w:rFonts w:hint="eastAsia"/>
        </w:rPr>
        <w:t>m。</w:t>
      </w:r>
    </w:p>
    <w:p>
      <w:pPr>
        <w:pStyle w:val="65"/>
      </w:pPr>
      <w:r>
        <w:rPr>
          <w:rFonts w:hint="eastAsia"/>
        </w:rPr>
        <w:t>低温泵区域可使用以下标示和措施予以警示</w:t>
      </w:r>
      <w:r>
        <w:t>：</w:t>
      </w:r>
    </w:p>
    <w:p>
      <w:pPr>
        <w:pStyle w:val="50"/>
      </w:pPr>
      <w:r>
        <w:rPr>
          <w:rFonts w:hint="eastAsia"/>
        </w:rPr>
        <w:t>明确</w:t>
      </w:r>
      <w:r>
        <w:t>危险区域，标记危险区域（例如</w:t>
      </w:r>
      <w:r>
        <w:rPr>
          <w:rFonts w:hint="eastAsia"/>
        </w:rPr>
        <w:t>：警示</w:t>
      </w:r>
      <w:r>
        <w:t>标志</w:t>
      </w:r>
      <w:r>
        <w:rPr>
          <w:rFonts w:hint="eastAsia"/>
        </w:rPr>
        <w:t>、</w:t>
      </w:r>
      <w:r>
        <w:t>地面标记</w:t>
      </w:r>
      <w:r>
        <w:rPr>
          <w:rFonts w:hint="eastAsia"/>
        </w:rPr>
        <w:t>、</w:t>
      </w:r>
      <w:r>
        <w:t>扶手等）</w:t>
      </w:r>
      <w:r>
        <w:rPr>
          <w:rFonts w:hint="eastAsia"/>
        </w:rPr>
        <w:t>，警示</w:t>
      </w:r>
      <w:r>
        <w:t>标志</w:t>
      </w:r>
      <w:r>
        <w:rPr>
          <w:rFonts w:hint="eastAsia"/>
        </w:rPr>
        <w:t>应</w:t>
      </w:r>
      <w:r>
        <w:t>放置在清晰可见的位置，包括液氧泵</w:t>
      </w:r>
      <w:r>
        <w:rPr>
          <w:rFonts w:hint="eastAsia"/>
        </w:rPr>
        <w:t>标识；</w:t>
      </w:r>
    </w:p>
    <w:p>
      <w:pPr>
        <w:pStyle w:val="50"/>
      </w:pPr>
      <w:r>
        <w:t>在氧泵运行期间，</w:t>
      </w:r>
      <w:r>
        <w:rPr>
          <w:rFonts w:hint="eastAsia"/>
        </w:rPr>
        <w:t>非操作人员不应进入危险区域；</w:t>
      </w:r>
    </w:p>
    <w:p>
      <w:pPr>
        <w:pStyle w:val="50"/>
      </w:pPr>
      <w:r>
        <w:rPr>
          <w:rFonts w:hint="eastAsia"/>
        </w:rPr>
        <w:t>根据氧泵的负荷和排压</w:t>
      </w:r>
      <w:r>
        <w:t>，安装防护罩或防护屏；</w:t>
      </w:r>
    </w:p>
    <w:p>
      <w:pPr>
        <w:pStyle w:val="50"/>
      </w:pPr>
      <w:r>
        <w:t>使用视觉或听觉信号提醒人员氧泵的自动启动</w:t>
      </w:r>
      <w:r>
        <w:rPr>
          <w:rFonts w:hint="eastAsia"/>
        </w:rPr>
        <w:t>，</w:t>
      </w:r>
      <w:r>
        <w:t>在自动或远程启动液氧泵时发出声音或视觉警报</w:t>
      </w:r>
      <w:r>
        <w:rPr>
          <w:rFonts w:hint="eastAsia"/>
        </w:rPr>
        <w:t>。</w:t>
      </w:r>
    </w:p>
    <w:p>
      <w:pPr>
        <w:pStyle w:val="47"/>
        <w:widowControl w:val="0"/>
        <w:spacing w:before="312" w:after="312"/>
      </w:pPr>
      <w:bookmarkStart w:id="142" w:name="_Toc45627596"/>
      <w:bookmarkStart w:id="143" w:name="_Toc44336250"/>
      <w:bookmarkStart w:id="144" w:name="_Toc54447478"/>
      <w:bookmarkStart w:id="145" w:name="_Toc54434959"/>
      <w:bookmarkStart w:id="146" w:name="_Toc43215139"/>
      <w:bookmarkStart w:id="147" w:name="_Toc44335669"/>
      <w:bookmarkStart w:id="148" w:name="_Toc46239387"/>
      <w:bookmarkStart w:id="149" w:name="_Toc54446525"/>
      <w:bookmarkStart w:id="150" w:name="_Toc44335572"/>
      <w:bookmarkStart w:id="151" w:name="_Toc43218595"/>
      <w:bookmarkStart w:id="152" w:name="_Toc51244026"/>
      <w:bookmarkStart w:id="153" w:name="_Toc43218323"/>
      <w:bookmarkStart w:id="154" w:name="_Toc54355460"/>
      <w:r>
        <w:rPr>
          <w:rFonts w:hint="eastAsia"/>
        </w:rPr>
        <w:t>空分冷箱和精馏系统</w:t>
      </w:r>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44"/>
        <w:widowControl w:val="0"/>
        <w:spacing w:before="156" w:after="156"/>
      </w:pPr>
      <w:r>
        <w:rPr>
          <w:rFonts w:hint="eastAsia"/>
        </w:rPr>
        <w:t>一般要求</w:t>
      </w:r>
    </w:p>
    <w:p>
      <w:pPr>
        <w:pStyle w:val="65"/>
        <w:widowControl w:val="0"/>
        <w:jc w:val="both"/>
      </w:pPr>
      <w:r>
        <w:rPr>
          <w:rFonts w:hint="eastAsia"/>
        </w:rPr>
        <w:t>冷箱钢结构安全设计、制造应符合相关国家标准、行业标准、团体标准的要求，并采用行业认可的应力分析软件进行冷箱内管道应力分析和柔性分析。计算书应单独成册，并至少保存25年。</w:t>
      </w:r>
    </w:p>
    <w:p>
      <w:pPr>
        <w:pStyle w:val="65"/>
        <w:widowControl w:val="0"/>
        <w:jc w:val="both"/>
      </w:pPr>
      <w:r>
        <w:rPr>
          <w:rFonts w:hint="eastAsia"/>
        </w:rPr>
        <w:t>冷箱应分层布置用于检测冷箱安全状态的压力点、分析测点，并将信号引至主控制台。</w:t>
      </w:r>
    </w:p>
    <w:p>
      <w:pPr>
        <w:pStyle w:val="65"/>
        <w:widowControl w:val="0"/>
        <w:jc w:val="both"/>
      </w:pPr>
      <w:r>
        <w:rPr>
          <w:rFonts w:hint="eastAsia"/>
        </w:rPr>
        <w:t>冷箱基础设计应符合相应国家标准、行业标准及团体标准的要求。</w:t>
      </w:r>
    </w:p>
    <w:p>
      <w:pPr>
        <w:pStyle w:val="65"/>
        <w:widowControl w:val="0"/>
        <w:jc w:val="both"/>
      </w:pPr>
      <w:r>
        <w:rPr>
          <w:rFonts w:hint="eastAsia"/>
        </w:rPr>
        <w:t>冷箱基础上应设置足够的测温点，液体重要设备对应的中心位置应设置测温点，并设置报警装置，同时将信号引至主控制台。</w:t>
      </w:r>
    </w:p>
    <w:p>
      <w:pPr>
        <w:pStyle w:val="65"/>
        <w:widowControl w:val="0"/>
        <w:jc w:val="both"/>
      </w:pPr>
      <w:r>
        <w:rPr>
          <w:rFonts w:hint="eastAsia"/>
        </w:rPr>
        <w:t>冷箱基础应设置加温管或其它隔冷通风措施，加温管间距不宜大于1200mm，加温管距离冷箱基础上表面宜为150mm。</w:t>
      </w:r>
    </w:p>
    <w:p>
      <w:pPr>
        <w:pStyle w:val="65"/>
        <w:widowControl w:val="0"/>
        <w:jc w:val="both"/>
      </w:pPr>
      <w:r>
        <w:rPr>
          <w:rFonts w:hint="eastAsia"/>
        </w:rPr>
        <w:t>冷箱基础为整体结构，不宜分开浇筑，中间部位设置直径不小于12mm、间距不大于300mm的双向钢筋网，每层钢筋网间距不应大于1000mm。</w:t>
      </w:r>
    </w:p>
    <w:p>
      <w:pPr>
        <w:pStyle w:val="65"/>
        <w:widowControl w:val="0"/>
        <w:jc w:val="both"/>
      </w:pPr>
      <w:r>
        <w:rPr>
          <w:rFonts w:hint="eastAsia"/>
        </w:rPr>
        <w:t>冷箱内珠光砂装卸操作应符合T/CCGA 10004的规定。</w:t>
      </w:r>
    </w:p>
    <w:p>
      <w:pPr>
        <w:pStyle w:val="44"/>
        <w:widowControl w:val="0"/>
        <w:spacing w:before="156" w:after="156"/>
      </w:pPr>
      <w:r>
        <w:rPr>
          <w:rFonts w:hint="eastAsia"/>
        </w:rPr>
        <w:t>系统吹扫</w:t>
      </w:r>
    </w:p>
    <w:p>
      <w:pPr>
        <w:pStyle w:val="65"/>
        <w:widowControl w:val="0"/>
      </w:pPr>
      <w:r>
        <w:rPr>
          <w:rFonts w:hint="eastAsia"/>
        </w:rPr>
        <w:t>吹扫的准备和过程应符合GB 50274的规定。</w:t>
      </w:r>
    </w:p>
    <w:p>
      <w:pPr>
        <w:pStyle w:val="65"/>
        <w:widowControl w:val="0"/>
      </w:pPr>
      <w:r>
        <w:rPr>
          <w:rFonts w:hint="eastAsia"/>
        </w:rPr>
        <w:t>整体裸冷试验应符合GB 50274的规定。</w:t>
      </w:r>
    </w:p>
    <w:p>
      <w:pPr>
        <w:pStyle w:val="44"/>
        <w:widowControl w:val="0"/>
        <w:spacing w:before="156" w:after="156"/>
      </w:pPr>
      <w:r>
        <w:rPr>
          <w:rFonts w:hint="eastAsia"/>
        </w:rPr>
        <w:t>空分冷箱的启动</w:t>
      </w:r>
    </w:p>
    <w:p>
      <w:pPr>
        <w:pStyle w:val="48"/>
        <w:widowControl w:val="0"/>
        <w:spacing w:before="156" w:after="156"/>
      </w:pPr>
      <w:r>
        <w:rPr>
          <w:rFonts w:hint="eastAsia"/>
        </w:rPr>
        <w:t>冷箱启动及联锁停车工艺的安全控制</w:t>
      </w:r>
    </w:p>
    <w:p>
      <w:pPr>
        <w:numPr>
          <w:ilvl w:val="3"/>
          <w:numId w:val="23"/>
        </w:numPr>
        <w:spacing w:before="50" w:after="50"/>
        <w:outlineLvl w:val="4"/>
        <w:rPr>
          <w:rFonts w:ascii="宋体"/>
          <w:kern w:val="0"/>
          <w:szCs w:val="21"/>
        </w:rPr>
      </w:pPr>
      <w:r>
        <w:rPr>
          <w:rFonts w:hint="eastAsia" w:ascii="宋体"/>
          <w:kern w:val="0"/>
          <w:szCs w:val="21"/>
        </w:rPr>
        <w:t>空分冷箱启动工艺安全控制策略应设置可靠的工艺许可要素，用于确保冷箱单元在空分装置启动过程中工艺安全风险的控制。包括空气净化单元启动成功的标识、冷箱系统具备接收工艺物料的条件、防止工艺安全风险的约束因素等。</w:t>
      </w:r>
    </w:p>
    <w:p>
      <w:pPr>
        <w:numPr>
          <w:ilvl w:val="3"/>
          <w:numId w:val="23"/>
        </w:numPr>
        <w:spacing w:before="50" w:after="50"/>
        <w:outlineLvl w:val="4"/>
        <w:rPr>
          <w:rFonts w:ascii="宋体"/>
          <w:kern w:val="0"/>
          <w:szCs w:val="21"/>
        </w:rPr>
      </w:pPr>
      <w:r>
        <w:rPr>
          <w:rFonts w:hint="eastAsia" w:ascii="宋体"/>
          <w:kern w:val="0"/>
          <w:szCs w:val="21"/>
        </w:rPr>
        <w:t>应采取逻辑判断条件，避免空分装置临时停车再启动阶段（冷态开车）精馏塔单元低温物料反向进入冷箱外碳钢管道系统。</w:t>
      </w:r>
    </w:p>
    <w:p>
      <w:pPr>
        <w:numPr>
          <w:ilvl w:val="3"/>
          <w:numId w:val="23"/>
        </w:numPr>
        <w:spacing w:before="50" w:after="50"/>
        <w:outlineLvl w:val="4"/>
        <w:rPr>
          <w:rFonts w:ascii="宋体"/>
          <w:kern w:val="0"/>
          <w:szCs w:val="21"/>
        </w:rPr>
      </w:pPr>
      <w:r>
        <w:rPr>
          <w:rFonts w:hint="eastAsia" w:ascii="宋体"/>
          <w:kern w:val="0"/>
          <w:szCs w:val="21"/>
        </w:rPr>
        <w:t>应采取逻辑判断条件，确保进入冷箱空气的露点小于-65℃，二氧化碳含量小于1ppm。</w:t>
      </w:r>
    </w:p>
    <w:p>
      <w:pPr>
        <w:numPr>
          <w:ilvl w:val="3"/>
          <w:numId w:val="23"/>
        </w:numPr>
        <w:spacing w:before="50" w:after="50"/>
        <w:outlineLvl w:val="4"/>
        <w:rPr>
          <w:rFonts w:ascii="宋体"/>
          <w:kern w:val="0"/>
          <w:szCs w:val="21"/>
        </w:rPr>
      </w:pPr>
      <w:r>
        <w:rPr>
          <w:rFonts w:hint="eastAsia" w:ascii="宋体"/>
          <w:kern w:val="0"/>
          <w:szCs w:val="21"/>
        </w:rPr>
        <w:t>下塔液位、主冷凝蒸发器液位、上塔压力应作为冷箱启动的必要条件。</w:t>
      </w:r>
    </w:p>
    <w:p>
      <w:pPr>
        <w:numPr>
          <w:ilvl w:val="3"/>
          <w:numId w:val="23"/>
        </w:numPr>
        <w:spacing w:before="50" w:after="50"/>
        <w:outlineLvl w:val="4"/>
        <w:rPr>
          <w:rFonts w:ascii="宋体"/>
          <w:kern w:val="0"/>
          <w:szCs w:val="21"/>
        </w:rPr>
      </w:pPr>
      <w:r>
        <w:rPr>
          <w:rFonts w:hint="eastAsia" w:ascii="宋体"/>
          <w:kern w:val="0"/>
          <w:szCs w:val="21"/>
        </w:rPr>
        <w:t>主换热器返流工艺介质温度应作为冷箱外碳钢管道防冷脆的安全条件。</w:t>
      </w:r>
    </w:p>
    <w:p>
      <w:pPr>
        <w:numPr>
          <w:ilvl w:val="3"/>
          <w:numId w:val="23"/>
        </w:numPr>
        <w:spacing w:before="50" w:after="50"/>
        <w:outlineLvl w:val="4"/>
        <w:rPr>
          <w:rFonts w:ascii="宋体"/>
          <w:kern w:val="0"/>
          <w:szCs w:val="21"/>
        </w:rPr>
      </w:pPr>
      <w:r>
        <w:rPr>
          <w:rFonts w:hint="eastAsia" w:ascii="宋体"/>
          <w:kern w:val="0"/>
          <w:szCs w:val="21"/>
        </w:rPr>
        <w:t>冷箱内各点密封气压力宜采用三选二作为冷箱停车条件。</w:t>
      </w:r>
    </w:p>
    <w:p>
      <w:pPr>
        <w:numPr>
          <w:ilvl w:val="3"/>
          <w:numId w:val="23"/>
        </w:numPr>
        <w:spacing w:before="50" w:after="50"/>
        <w:outlineLvl w:val="4"/>
        <w:rPr>
          <w:rFonts w:ascii="宋体"/>
          <w:kern w:val="0"/>
          <w:szCs w:val="21"/>
        </w:rPr>
      </w:pPr>
      <w:r>
        <w:rPr>
          <w:rFonts w:hint="eastAsia" w:ascii="宋体"/>
          <w:kern w:val="0"/>
          <w:szCs w:val="21"/>
        </w:rPr>
        <w:t>膨胀机系统密封气、润滑油泵、密封气与润滑油压联锁保护应处于可靠的投入状态。</w:t>
      </w:r>
    </w:p>
    <w:p>
      <w:pPr>
        <w:numPr>
          <w:ilvl w:val="3"/>
          <w:numId w:val="23"/>
        </w:numPr>
        <w:spacing w:before="50" w:after="50"/>
        <w:outlineLvl w:val="4"/>
        <w:rPr>
          <w:rFonts w:ascii="宋体"/>
          <w:kern w:val="0"/>
          <w:szCs w:val="21"/>
        </w:rPr>
      </w:pPr>
      <w:r>
        <w:rPr>
          <w:rFonts w:hint="eastAsia" w:ascii="宋体"/>
          <w:kern w:val="0"/>
          <w:szCs w:val="21"/>
        </w:rPr>
        <w:t>增压机密封气和润滑油压联锁保护应处于投入状态。</w:t>
      </w:r>
    </w:p>
    <w:p>
      <w:pPr>
        <w:pStyle w:val="48"/>
        <w:widowControl w:val="0"/>
        <w:spacing w:before="156" w:after="156"/>
      </w:pPr>
      <w:r>
        <w:rPr>
          <w:rFonts w:hint="eastAsia"/>
        </w:rPr>
        <w:t>冷箱首次投运前的安全技术准备</w:t>
      </w:r>
    </w:p>
    <w:p>
      <w:pPr>
        <w:pStyle w:val="115"/>
        <w:widowControl w:val="0"/>
        <w:jc w:val="both"/>
      </w:pPr>
      <w:r>
        <w:rPr>
          <w:rFonts w:hint="eastAsia"/>
        </w:rPr>
        <w:t>冷箱首次投运前，应检查安装过程质量程序文件、隐患排查文件等安全可靠性程序。</w:t>
      </w:r>
    </w:p>
    <w:p>
      <w:pPr>
        <w:pStyle w:val="115"/>
        <w:widowControl w:val="0"/>
        <w:jc w:val="both"/>
      </w:pPr>
      <w:r>
        <w:rPr>
          <w:rFonts w:hint="eastAsia"/>
        </w:rPr>
        <w:t>应检查冷箱外氧气管道吹扫记录及质量控制记录。</w:t>
      </w:r>
    </w:p>
    <w:p>
      <w:pPr>
        <w:pStyle w:val="115"/>
        <w:widowControl w:val="0"/>
        <w:jc w:val="both"/>
      </w:pPr>
      <w:r>
        <w:rPr>
          <w:rFonts w:hint="eastAsia"/>
        </w:rPr>
        <w:t>冷箱单元所有的安全泄放装置应校验完成，并根据检查清单，对安全泄放装置的进、出口管路通畅性进行检查，PID一致性确认，对安装位置及排放口进行安全检查。</w:t>
      </w:r>
    </w:p>
    <w:p>
      <w:pPr>
        <w:pStyle w:val="115"/>
        <w:widowControl w:val="0"/>
        <w:jc w:val="both"/>
      </w:pPr>
      <w:r>
        <w:rPr>
          <w:rFonts w:hint="eastAsia"/>
        </w:rPr>
        <w:t>冷箱单元相关的安全联锁保护DCS组态应完成，并经过测试及专业工程师确认。</w:t>
      </w:r>
    </w:p>
    <w:p>
      <w:pPr>
        <w:pStyle w:val="115"/>
        <w:widowControl w:val="0"/>
        <w:jc w:val="both"/>
      </w:pPr>
      <w:r>
        <w:rPr>
          <w:rFonts w:hint="eastAsia"/>
        </w:rPr>
        <w:t>冷箱系统盲板移除应确认完成，盲板清单注销完成，确保流路通畅。</w:t>
      </w:r>
    </w:p>
    <w:p>
      <w:pPr>
        <w:pStyle w:val="115"/>
        <w:widowControl w:val="0"/>
        <w:jc w:val="both"/>
      </w:pPr>
      <w:r>
        <w:rPr>
          <w:rFonts w:hint="eastAsia"/>
        </w:rPr>
        <w:t>冷箱内设备专项检查应完成，固定点及滑动点确认完成。</w:t>
      </w:r>
    </w:p>
    <w:p>
      <w:pPr>
        <w:pStyle w:val="115"/>
        <w:widowControl w:val="0"/>
        <w:jc w:val="both"/>
      </w:pPr>
      <w:r>
        <w:rPr>
          <w:rFonts w:hint="eastAsia"/>
        </w:rPr>
        <w:t>冷箱内仪表保护支架专项检查应完成，并符合设计要求。</w:t>
      </w:r>
    </w:p>
    <w:p>
      <w:pPr>
        <w:pStyle w:val="115"/>
        <w:widowControl w:val="0"/>
        <w:jc w:val="both"/>
      </w:pPr>
      <w:r>
        <w:rPr>
          <w:rFonts w:hint="eastAsia"/>
        </w:rPr>
        <w:t>冷箱内精馏塔、换热器、阀门、管道等临时运输性装置及支架应移除。</w:t>
      </w:r>
    </w:p>
    <w:p>
      <w:pPr>
        <w:pStyle w:val="115"/>
        <w:widowControl w:val="0"/>
        <w:jc w:val="both"/>
      </w:pPr>
      <w:r>
        <w:rPr>
          <w:rFonts w:hint="eastAsia"/>
        </w:rPr>
        <w:t>冷箱外相关管道及支架应确认完成，避免影响冷箱内设备冷态收缩。</w:t>
      </w:r>
    </w:p>
    <w:p>
      <w:pPr>
        <w:pStyle w:val="115"/>
        <w:widowControl w:val="0"/>
        <w:jc w:val="both"/>
      </w:pPr>
      <w:r>
        <w:rPr>
          <w:rFonts w:hint="eastAsia"/>
        </w:rPr>
        <w:t>冷箱进、出口穿管防水检查应完成。</w:t>
      </w:r>
    </w:p>
    <w:p>
      <w:pPr>
        <w:pStyle w:val="115"/>
        <w:widowControl w:val="0"/>
        <w:jc w:val="both"/>
      </w:pPr>
      <w:r>
        <w:rPr>
          <w:rFonts w:hint="eastAsia"/>
        </w:rPr>
        <w:t>冷箱珠光砂装填结束，封闭检查应完成。</w:t>
      </w:r>
    </w:p>
    <w:p>
      <w:pPr>
        <w:pStyle w:val="115"/>
        <w:widowControl w:val="0"/>
        <w:jc w:val="both"/>
      </w:pPr>
      <w:r>
        <w:rPr>
          <w:rFonts w:hint="eastAsia"/>
        </w:rPr>
        <w:t>冷箱内不锈钢管道焊接临时堵头记录应齐全，管道最终闭合前确认移除临时堵头，记录完整。</w:t>
      </w:r>
    </w:p>
    <w:p>
      <w:pPr>
        <w:pStyle w:val="115"/>
        <w:widowControl w:val="0"/>
        <w:jc w:val="both"/>
      </w:pPr>
      <w:r>
        <w:rPr>
          <w:rFonts w:hint="eastAsia"/>
        </w:rPr>
        <w:t>冷箱内法兰螺栓冷萃试验记录应齐全、完整。</w:t>
      </w:r>
    </w:p>
    <w:p>
      <w:pPr>
        <w:pStyle w:val="115"/>
        <w:widowControl w:val="0"/>
        <w:jc w:val="both"/>
      </w:pPr>
      <w:r>
        <w:rPr>
          <w:rFonts w:hint="eastAsia"/>
        </w:rPr>
        <w:t>冷箱内部分管道PT无损检测记录应齐全。</w:t>
      </w:r>
    </w:p>
    <w:p>
      <w:pPr>
        <w:pStyle w:val="115"/>
        <w:widowControl w:val="0"/>
        <w:jc w:val="both"/>
      </w:pPr>
      <w:r>
        <w:rPr>
          <w:rFonts w:hint="eastAsia"/>
        </w:rPr>
        <w:t>冷箱内密封气排放管丝网检查记录应齐全，密封气排放管与工艺管道距离确认完成。</w:t>
      </w:r>
    </w:p>
    <w:p>
      <w:pPr>
        <w:pStyle w:val="48"/>
        <w:widowControl w:val="0"/>
        <w:spacing w:before="156" w:after="156"/>
      </w:pPr>
      <w:r>
        <w:rPr>
          <w:rFonts w:hint="eastAsia"/>
        </w:rPr>
        <w:t>冷箱启动期间的安全技术要求</w:t>
      </w:r>
    </w:p>
    <w:p>
      <w:pPr>
        <w:pStyle w:val="115"/>
        <w:widowControl w:val="0"/>
        <w:jc w:val="both"/>
      </w:pPr>
      <w:r>
        <w:rPr>
          <w:rFonts w:hint="eastAsia"/>
        </w:rPr>
        <w:t>浴式主冷凝蒸发器液氧蒸发侧板式单元应全浸，装置启动阶段尽快建立主冷工作液位。</w:t>
      </w:r>
    </w:p>
    <w:p>
      <w:pPr>
        <w:pStyle w:val="115"/>
        <w:widowControl w:val="0"/>
        <w:jc w:val="both"/>
      </w:pPr>
      <w:r>
        <w:rPr>
          <w:rFonts w:hint="eastAsia"/>
        </w:rPr>
        <w:t xml:space="preserve">主冷凝蒸发器液位低限报警值应设置为板式单元高度90%对应的液位检测点，DCS设置报警提示，板式单元高度的80%对应的液位检测点应作为装置停车设置点。  </w:t>
      </w:r>
    </w:p>
    <w:p>
      <w:pPr>
        <w:pStyle w:val="115"/>
        <w:widowControl w:val="0"/>
        <w:jc w:val="both"/>
      </w:pPr>
      <w:r>
        <w:rPr>
          <w:rFonts w:hint="eastAsia"/>
        </w:rPr>
        <w:t>冷箱冷态启动阶段，当主冷凝蒸发器液氧液位低于正常操作值的50%时，应将主冷凝蒸发器内富氧液体排放干净，然后重新积液启动装置。当主冷凝蒸发器液氧液位高于50%、低于全浸液位时，应分析主冷凝蒸发器内富氧液体中有害物质的含量，确保其满足安全控制要求。通过液氮辅助启动时，将主冷凝蒸发器富氧液体液位提高至全浸状态，然后启动冷箱系统。</w:t>
      </w:r>
    </w:p>
    <w:p>
      <w:pPr>
        <w:pStyle w:val="48"/>
        <w:widowControl w:val="0"/>
        <w:spacing w:before="156" w:after="156"/>
      </w:pPr>
      <w:r>
        <w:rPr>
          <w:rFonts w:hint="eastAsia"/>
        </w:rPr>
        <w:t>冷箱停车</w:t>
      </w:r>
    </w:p>
    <w:p>
      <w:pPr>
        <w:pStyle w:val="53"/>
        <w:widowControl w:val="0"/>
        <w:spacing w:before="156" w:after="156"/>
      </w:pPr>
      <w:r>
        <w:rPr>
          <w:rFonts w:hint="eastAsia"/>
        </w:rPr>
        <w:t>紧急停车</w:t>
      </w:r>
    </w:p>
    <w:p>
      <w:pPr>
        <w:pStyle w:val="120"/>
        <w:widowControl w:val="0"/>
        <w:jc w:val="both"/>
      </w:pPr>
      <w:r>
        <w:rPr>
          <w:rFonts w:hint="eastAsia"/>
        </w:rPr>
        <w:t>冷箱紧急联锁停止运行的工艺条件包括以下几种情况：</w:t>
      </w:r>
    </w:p>
    <w:p>
      <w:pPr>
        <w:pStyle w:val="50"/>
      </w:pPr>
      <w:r>
        <w:rPr>
          <w:rFonts w:hint="eastAsia"/>
        </w:rPr>
        <w:t>前端工艺系统故障触发冷箱封闭隔离停车；</w:t>
      </w:r>
    </w:p>
    <w:p>
      <w:pPr>
        <w:pStyle w:val="50"/>
      </w:pPr>
      <w:r>
        <w:rPr>
          <w:rFonts w:hint="eastAsia"/>
        </w:rPr>
        <w:t>主空压机系统故障；</w:t>
      </w:r>
    </w:p>
    <w:p>
      <w:pPr>
        <w:pStyle w:val="50"/>
      </w:pPr>
      <w:r>
        <w:rPr>
          <w:rFonts w:hint="eastAsia"/>
        </w:rPr>
        <w:t>进冷箱空气温度过高；</w:t>
      </w:r>
    </w:p>
    <w:p>
      <w:pPr>
        <w:pStyle w:val="50"/>
      </w:pPr>
      <w:r>
        <w:rPr>
          <w:rFonts w:hint="eastAsia"/>
        </w:rPr>
        <w:t>冷箱系统SIS安全保护触发停车；</w:t>
      </w:r>
    </w:p>
    <w:p>
      <w:pPr>
        <w:pStyle w:val="50"/>
      </w:pPr>
      <w:r>
        <w:rPr>
          <w:rFonts w:hint="eastAsia"/>
        </w:rPr>
        <w:t>下塔液空液位升</w:t>
      </w:r>
      <w:r>
        <w:t>至</w:t>
      </w:r>
      <w:r>
        <w:rPr>
          <w:rFonts w:hint="eastAsia"/>
        </w:rPr>
        <w:t>高高值；</w:t>
      </w:r>
    </w:p>
    <w:p>
      <w:pPr>
        <w:pStyle w:val="50"/>
      </w:pPr>
      <w:r>
        <w:rPr>
          <w:rFonts w:hint="eastAsia"/>
        </w:rPr>
        <w:t>主冷凝蒸发器液氧液位降至低低值；</w:t>
      </w:r>
    </w:p>
    <w:p>
      <w:pPr>
        <w:pStyle w:val="50"/>
      </w:pPr>
      <w:r>
        <w:rPr>
          <w:rFonts w:hint="eastAsia"/>
        </w:rPr>
        <w:t>进冷箱空气中有害物质二氧化碳含量升至高高值。</w:t>
      </w:r>
    </w:p>
    <w:p>
      <w:pPr>
        <w:pStyle w:val="120"/>
        <w:widowControl w:val="0"/>
        <w:jc w:val="both"/>
      </w:pPr>
      <w:r>
        <w:rPr>
          <w:rFonts w:hint="eastAsia"/>
        </w:rPr>
        <w:t>冷箱系统紧急联锁停车输出结果应包括冷箱紧急隔离、上塔防止超压自动控制、主空压机卸载、前端工艺系统停车、防止冷箱外碳钢管道冷脆安全保护隔离等。</w:t>
      </w:r>
    </w:p>
    <w:p>
      <w:pPr>
        <w:pStyle w:val="120"/>
        <w:widowControl w:val="0"/>
        <w:jc w:val="both"/>
      </w:pPr>
      <w:r>
        <w:rPr>
          <w:rFonts w:hint="eastAsia"/>
        </w:rPr>
        <w:t>内压缩流程空分冷箱临时停车期间，应将主换热器液氧排放，避免因压力低引起干蒸发。</w:t>
      </w:r>
    </w:p>
    <w:p>
      <w:pPr>
        <w:pStyle w:val="53"/>
        <w:widowControl w:val="0"/>
        <w:spacing w:before="156" w:after="156"/>
      </w:pPr>
      <w:r>
        <w:rPr>
          <w:rFonts w:hint="eastAsia"/>
        </w:rPr>
        <w:t>长期停车</w:t>
      </w:r>
    </w:p>
    <w:p>
      <w:pPr>
        <w:pStyle w:val="120"/>
        <w:widowControl w:val="0"/>
        <w:jc w:val="both"/>
      </w:pPr>
      <w:r>
        <w:rPr>
          <w:rFonts w:hint="eastAsia"/>
        </w:rPr>
        <w:t>空分冷箱停车超过48小时,宜将主冷凝蒸发器内富氧液体排放干净，避免富氧液体干蒸发，引发安全事故。</w:t>
      </w:r>
    </w:p>
    <w:p>
      <w:pPr>
        <w:pStyle w:val="120"/>
        <w:widowControl w:val="0"/>
        <w:jc w:val="both"/>
      </w:pPr>
      <w:r>
        <w:rPr>
          <w:rFonts w:hint="eastAsia"/>
        </w:rPr>
        <w:t>空分冷箱长期停车时，应对冷箱系统各塔器、换热器、容器及管道内的低温液体排放干净，静置后，进行解冻复热。</w:t>
      </w:r>
    </w:p>
    <w:p>
      <w:pPr>
        <w:pStyle w:val="120"/>
        <w:widowControl w:val="0"/>
        <w:jc w:val="both"/>
      </w:pPr>
      <w:r>
        <w:rPr>
          <w:rFonts w:hint="eastAsia"/>
        </w:rPr>
        <w:t>冷箱内系统宜每隔三年进行一次彻底解冻复热，以清除精馏塔及板翅式换热器内积聚的有害物质。正常运行的空分装置加温解冻周期为三年，如发生以下情况，则应提前停止空分装置，进行排液及解冻，彻底清除有害物质：</w:t>
      </w:r>
    </w:p>
    <w:p>
      <w:pPr>
        <w:pStyle w:val="61"/>
        <w:widowControl w:val="0"/>
        <w:numPr>
          <w:ilvl w:val="0"/>
          <w:numId w:val="24"/>
        </w:numPr>
      </w:pPr>
      <w:r>
        <w:rPr>
          <w:rFonts w:hint="eastAsia"/>
        </w:rPr>
        <w:t>二氧化碳穿透或超标长时间运行，导致二氧化碳在主冷凝蒸发器中接近它的溶解度；</w:t>
      </w:r>
    </w:p>
    <w:p>
      <w:pPr>
        <w:pStyle w:val="61"/>
        <w:widowControl w:val="0"/>
        <w:numPr>
          <w:ilvl w:val="0"/>
          <w:numId w:val="24"/>
        </w:numPr>
      </w:pPr>
      <w:r>
        <w:rPr>
          <w:rFonts w:hint="eastAsia"/>
        </w:rPr>
        <w:t>吸附器下游空气中碳氢化合物含量异常，导致碳氢化合物在浴式主冷凝蒸发器中出现异常水平；</w:t>
      </w:r>
    </w:p>
    <w:p>
      <w:pPr>
        <w:pStyle w:val="61"/>
        <w:widowControl w:val="0"/>
        <w:numPr>
          <w:ilvl w:val="0"/>
          <w:numId w:val="24"/>
        </w:numPr>
      </w:pPr>
      <w:r>
        <w:rPr>
          <w:rFonts w:hint="eastAsia"/>
        </w:rPr>
        <w:t>低温设备（包括换热器、精馏塔、液氧吸附器等）阻力损失异常；</w:t>
      </w:r>
    </w:p>
    <w:p>
      <w:pPr>
        <w:pStyle w:val="61"/>
        <w:widowControl w:val="0"/>
        <w:numPr>
          <w:ilvl w:val="0"/>
          <w:numId w:val="24"/>
        </w:numPr>
      </w:pPr>
      <w:r>
        <w:rPr>
          <w:rFonts w:hint="eastAsia"/>
        </w:rPr>
        <w:t>与装置设计的环境条件相比，发生变化。</w:t>
      </w:r>
    </w:p>
    <w:p>
      <w:pPr>
        <w:numPr>
          <w:ilvl w:val="4"/>
          <w:numId w:val="23"/>
        </w:numPr>
        <w:spacing w:before="50" w:after="50"/>
        <w:jc w:val="left"/>
        <w:outlineLvl w:val="5"/>
        <w:rPr>
          <w:rFonts w:ascii="宋体"/>
          <w:kern w:val="0"/>
          <w:szCs w:val="21"/>
        </w:rPr>
      </w:pPr>
      <w:r>
        <w:rPr>
          <w:rFonts w:hint="eastAsia" w:ascii="宋体"/>
          <w:kern w:val="0"/>
          <w:szCs w:val="21"/>
        </w:rPr>
        <w:t>无以上异常工艺条件，空分装置解冻周期可延长，但最长不超过5年。</w:t>
      </w:r>
    </w:p>
    <w:p>
      <w:pPr>
        <w:pStyle w:val="48"/>
        <w:widowControl w:val="0"/>
        <w:spacing w:before="156" w:after="156"/>
      </w:pPr>
      <w:r>
        <w:rPr>
          <w:rFonts w:hint="eastAsia"/>
        </w:rPr>
        <w:t>冷箱运行监测</w:t>
      </w:r>
    </w:p>
    <w:p>
      <w:pPr>
        <w:pStyle w:val="53"/>
        <w:widowControl w:val="0"/>
        <w:spacing w:before="156" w:after="156"/>
      </w:pPr>
      <w:r>
        <w:rPr>
          <w:rFonts w:hint="eastAsia"/>
        </w:rPr>
        <w:t>冷箱内工艺管道及设备泄漏监测</w:t>
      </w:r>
    </w:p>
    <w:p>
      <w:pPr>
        <w:pStyle w:val="120"/>
        <w:widowControl w:val="0"/>
        <w:jc w:val="both"/>
      </w:pPr>
      <w:r>
        <w:rPr>
          <w:rFonts w:hint="eastAsia"/>
        </w:rPr>
        <w:t>冷箱内密封气压力应沿冷箱高度设置多层检测分析，重要点压力、含氧量分析数据远传仪表监控。</w:t>
      </w:r>
    </w:p>
    <w:p>
      <w:pPr>
        <w:pStyle w:val="120"/>
        <w:widowControl w:val="0"/>
        <w:jc w:val="both"/>
      </w:pPr>
      <w:r>
        <w:rPr>
          <w:rFonts w:hint="eastAsia"/>
        </w:rPr>
        <w:t>冷箱内密封气宜采用氮气或污氮气。空分装置正常运行期间，冷箱内密封气含氧量不应超过5%，含氧量超标应分析查明原因，密封气含氧量长期（7</w:t>
      </w:r>
      <w:r>
        <w:t>2</w:t>
      </w:r>
      <w:r>
        <w:rPr>
          <w:rFonts w:hint="eastAsia"/>
        </w:rPr>
        <w:t>小时以上）超标达到20%以上时，应停车检修处理。</w:t>
      </w:r>
    </w:p>
    <w:p>
      <w:pPr>
        <w:pStyle w:val="120"/>
        <w:widowControl w:val="0"/>
        <w:jc w:val="both"/>
      </w:pPr>
      <w:r>
        <w:rPr>
          <w:rFonts w:hint="eastAsia"/>
        </w:rPr>
        <w:t>空分装置热态开车进入积液阶段前，冷箱内密封气可以采用工艺系统的空气，装置进入积液阶段后，应及时调整为氮气或污氮气作为密封气源。空分装置临时停车再次启动阶段，冷箱内密封气宜采用氮气或污氮气作为密封气源。</w:t>
      </w:r>
    </w:p>
    <w:p>
      <w:pPr>
        <w:pStyle w:val="120"/>
        <w:widowControl w:val="0"/>
        <w:jc w:val="both"/>
      </w:pPr>
      <w:r>
        <w:rPr>
          <w:rFonts w:hint="eastAsia"/>
        </w:rPr>
        <w:t>进入冷箱的空气及其它工艺循环气体温度应小于55℃，露点小于-65℃，二氧化碳含量小于1ppm。</w:t>
      </w:r>
    </w:p>
    <w:p>
      <w:pPr>
        <w:pStyle w:val="53"/>
        <w:widowControl w:val="0"/>
        <w:spacing w:before="156" w:after="156"/>
      </w:pPr>
      <w:r>
        <w:rPr>
          <w:rFonts w:hint="eastAsia"/>
        </w:rPr>
        <w:t>精馏塔及冷凝蒸发器液位监测</w:t>
      </w:r>
    </w:p>
    <w:p>
      <w:pPr>
        <w:pStyle w:val="120"/>
        <w:widowControl w:val="0"/>
        <w:jc w:val="both"/>
      </w:pPr>
      <w:r>
        <w:rPr>
          <w:rFonts w:hint="eastAsia"/>
        </w:rPr>
        <w:t>下塔液空液位应设在线自动监控。</w:t>
      </w:r>
    </w:p>
    <w:p>
      <w:pPr>
        <w:pStyle w:val="120"/>
        <w:widowControl w:val="0"/>
        <w:jc w:val="both"/>
      </w:pPr>
      <w:r>
        <w:rPr>
          <w:rFonts w:hint="eastAsia"/>
        </w:rPr>
        <w:t>单层主冷凝蒸发器液氧液位应设置在线监控，并设置板式单元满程检测点，用于检测主冷板式全浸操作。</w:t>
      </w:r>
    </w:p>
    <w:p>
      <w:pPr>
        <w:pStyle w:val="120"/>
        <w:widowControl w:val="0"/>
        <w:jc w:val="both"/>
      </w:pPr>
      <w:r>
        <w:rPr>
          <w:rFonts w:hint="eastAsia"/>
        </w:rPr>
        <w:t>多层主冷应设置底层板式单元液位监控，并设置板式单元满程检测点，保证板式全浸操作。</w:t>
      </w:r>
    </w:p>
    <w:p>
      <w:pPr>
        <w:pStyle w:val="120"/>
        <w:widowControl w:val="0"/>
        <w:jc w:val="both"/>
      </w:pPr>
      <w:r>
        <w:rPr>
          <w:rFonts w:hint="eastAsia"/>
        </w:rPr>
        <w:t>富氧液空粗氩冷凝器应设置液位监控，板式单元宜采用全浸操作，如果无法进行全浸操作，应确保富氧液空回流温度检测，保证装置正常运行期间的富氧液空回流量满足设计要求。</w:t>
      </w:r>
    </w:p>
    <w:p>
      <w:pPr>
        <w:pStyle w:val="53"/>
        <w:widowControl w:val="0"/>
        <w:spacing w:before="156" w:after="156"/>
      </w:pPr>
      <w:r>
        <w:rPr>
          <w:rFonts w:hint="eastAsia"/>
        </w:rPr>
        <w:t>空分冷箱及低温泵冷箱基础温度监控</w:t>
      </w:r>
    </w:p>
    <w:p>
      <w:pPr>
        <w:pStyle w:val="120"/>
        <w:widowControl w:val="0"/>
        <w:jc w:val="both"/>
      </w:pPr>
      <w:r>
        <w:rPr>
          <w:rFonts w:hint="eastAsia"/>
        </w:rPr>
        <w:t>空分冷箱基础应设置用于监控各换热器及塔器泄漏的测温元件。</w:t>
      </w:r>
    </w:p>
    <w:p>
      <w:pPr>
        <w:pStyle w:val="120"/>
        <w:widowControl w:val="0"/>
        <w:jc w:val="both"/>
      </w:pPr>
      <w:r>
        <w:rPr>
          <w:rFonts w:hint="eastAsia"/>
        </w:rPr>
        <w:t>低温液体泵、液体膨胀机隔箱内底部设备下方应设置用于检测泄漏的温度元件。</w:t>
      </w:r>
    </w:p>
    <w:p>
      <w:pPr>
        <w:pStyle w:val="120"/>
        <w:widowControl w:val="0"/>
        <w:jc w:val="both"/>
      </w:pPr>
      <w:r>
        <w:rPr>
          <w:rFonts w:hint="eastAsia"/>
        </w:rPr>
        <w:t>冷箱内管道采用法兰连接型式的，应设置检修隔箱，隔箱底部宜设置温度检测元件。</w:t>
      </w:r>
    </w:p>
    <w:p>
      <w:pPr>
        <w:pStyle w:val="120"/>
        <w:widowControl w:val="0"/>
        <w:jc w:val="both"/>
      </w:pPr>
      <w:r>
        <w:rPr>
          <w:rFonts w:hint="eastAsia"/>
        </w:rPr>
        <w:t>冷箱内各精馏塔器、换热设备应设置用于监控压力的远传仪表。</w:t>
      </w:r>
    </w:p>
    <w:p>
      <w:pPr>
        <w:pStyle w:val="48"/>
        <w:widowControl w:val="0"/>
        <w:spacing w:before="156" w:after="156"/>
      </w:pPr>
      <w:r>
        <w:rPr>
          <w:rFonts w:hint="eastAsia"/>
        </w:rPr>
        <w:t>空分装置主冷凝蒸发器有害物质分析</w:t>
      </w:r>
    </w:p>
    <w:p>
      <w:pPr>
        <w:pStyle w:val="53"/>
        <w:widowControl w:val="0"/>
        <w:spacing w:before="156" w:after="156"/>
      </w:pPr>
      <w:r>
        <w:rPr>
          <w:rFonts w:hint="eastAsia"/>
        </w:rPr>
        <w:t>浴式主冷凝蒸发器板式单元全浸技术要求</w:t>
      </w:r>
    </w:p>
    <w:p>
      <w:pPr>
        <w:ind w:firstLine="420" w:firstLineChars="200"/>
      </w:pPr>
      <w:r>
        <w:rPr>
          <w:rFonts w:hint="eastAsia"/>
        </w:rPr>
        <w:t>双层主冷凝蒸发器液氧侧液位计应采用双液位计检测。</w:t>
      </w:r>
    </w:p>
    <w:p>
      <w:pPr>
        <w:pStyle w:val="53"/>
        <w:widowControl w:val="0"/>
        <w:spacing w:before="156" w:after="156"/>
      </w:pPr>
      <w:r>
        <w:rPr>
          <w:rFonts w:hint="eastAsia"/>
        </w:rPr>
        <w:t>浴式主冷凝蒸发器液氧蒸发器净除流量控制和技术要求</w:t>
      </w:r>
    </w:p>
    <w:p>
      <w:pPr>
        <w:pStyle w:val="120"/>
        <w:widowControl w:val="0"/>
        <w:jc w:val="both"/>
      </w:pPr>
      <w:r>
        <w:rPr>
          <w:rFonts w:hint="eastAsia"/>
        </w:rPr>
        <w:t>应设置主冷凝蒸发器底部液氧排放的管路系统，用于空分装置开车及主冷凝蒸发器液氧中有害物质超标时的排放。</w:t>
      </w:r>
    </w:p>
    <w:p>
      <w:pPr>
        <w:pStyle w:val="120"/>
        <w:widowControl w:val="0"/>
        <w:jc w:val="both"/>
      </w:pPr>
      <w:r>
        <w:rPr>
          <w:rFonts w:hint="eastAsia"/>
        </w:rPr>
        <w:t>浴式主冷凝蒸发器液氧输出管路应设置流量计，流量设置低低报警提示，设置温度高高报警提示，避免主冷凝蒸发器液氧长期干蒸发所引发的安全风险。</w:t>
      </w:r>
    </w:p>
    <w:p>
      <w:pPr>
        <w:numPr>
          <w:ilvl w:val="3"/>
          <w:numId w:val="23"/>
        </w:numPr>
        <w:spacing w:before="156" w:beforeLines="50" w:after="156" w:afterLines="50"/>
        <w:jc w:val="left"/>
        <w:outlineLvl w:val="4"/>
        <w:rPr>
          <w:rFonts w:ascii="黑体" w:eastAsia="黑体"/>
          <w:kern w:val="0"/>
          <w:szCs w:val="21"/>
        </w:rPr>
      </w:pPr>
      <w:r>
        <w:rPr>
          <w:rFonts w:hint="eastAsia" w:ascii="黑体" w:eastAsia="黑体"/>
          <w:kern w:val="0"/>
          <w:szCs w:val="21"/>
        </w:rPr>
        <w:t>粗氩冷凝器最低净除流量</w:t>
      </w:r>
    </w:p>
    <w:p>
      <w:pPr>
        <w:numPr>
          <w:ilvl w:val="4"/>
          <w:numId w:val="23"/>
        </w:numPr>
        <w:spacing w:before="50" w:after="50"/>
        <w:outlineLvl w:val="5"/>
        <w:rPr>
          <w:rFonts w:ascii="宋体"/>
          <w:kern w:val="0"/>
          <w:szCs w:val="21"/>
        </w:rPr>
      </w:pPr>
      <w:r>
        <w:rPr>
          <w:rFonts w:hint="eastAsia" w:ascii="宋体"/>
          <w:kern w:val="0"/>
          <w:szCs w:val="21"/>
        </w:rPr>
        <w:t>粗氩冷凝器富氧液空最低净除流量为富氧液空的设计流量的5%，通过在粗氩冷凝器低点排放回低压上塔的液空管道设置温度计监测，温度达到高限时，DCS设置报警提示。</w:t>
      </w:r>
    </w:p>
    <w:p>
      <w:pPr>
        <w:numPr>
          <w:ilvl w:val="4"/>
          <w:numId w:val="23"/>
        </w:numPr>
        <w:spacing w:before="50" w:after="50"/>
        <w:outlineLvl w:val="5"/>
        <w:rPr>
          <w:rFonts w:ascii="宋体"/>
          <w:kern w:val="0"/>
          <w:szCs w:val="21"/>
        </w:rPr>
      </w:pPr>
      <w:r>
        <w:rPr>
          <w:rFonts w:hint="eastAsia" w:ascii="宋体"/>
          <w:kern w:val="0"/>
          <w:szCs w:val="21"/>
        </w:rPr>
        <w:t>富氧液空净除回上塔流量采用液空恒流阀控制，保证极限的安全流量。</w:t>
      </w:r>
    </w:p>
    <w:p>
      <w:pPr>
        <w:numPr>
          <w:ilvl w:val="3"/>
          <w:numId w:val="23"/>
        </w:numPr>
        <w:spacing w:before="156" w:beforeLines="50" w:after="156" w:afterLines="50"/>
        <w:jc w:val="left"/>
        <w:outlineLvl w:val="4"/>
        <w:rPr>
          <w:rFonts w:ascii="黑体" w:eastAsia="黑体"/>
          <w:kern w:val="0"/>
          <w:szCs w:val="21"/>
        </w:rPr>
      </w:pPr>
      <w:r>
        <w:rPr>
          <w:rFonts w:hint="eastAsia" w:ascii="黑体" w:eastAsia="黑体"/>
          <w:kern w:val="0"/>
          <w:szCs w:val="21"/>
        </w:rPr>
        <w:t>浴式主冷凝蒸发器中有害物质监控设计</w:t>
      </w:r>
    </w:p>
    <w:p>
      <w:pPr>
        <w:numPr>
          <w:ilvl w:val="4"/>
          <w:numId w:val="23"/>
        </w:numPr>
        <w:spacing w:before="50" w:after="50"/>
        <w:jc w:val="left"/>
        <w:outlineLvl w:val="5"/>
        <w:rPr>
          <w:rFonts w:ascii="宋体"/>
          <w:kern w:val="0"/>
          <w:szCs w:val="21"/>
        </w:rPr>
      </w:pPr>
      <w:r>
        <w:rPr>
          <w:rFonts w:hint="eastAsia" w:ascii="宋体"/>
          <w:kern w:val="0"/>
          <w:szCs w:val="21"/>
        </w:rPr>
        <w:t>主冷凝蒸发器中有害物质控制范围应符合表6的要求。</w:t>
      </w:r>
    </w:p>
    <w:p>
      <w:pPr>
        <w:pStyle w:val="128"/>
        <w:widowControl w:val="0"/>
        <w:spacing w:before="156" w:after="156"/>
      </w:pPr>
      <w:r>
        <w:rPr>
          <w:rFonts w:hint="eastAsia"/>
        </w:rPr>
        <w:t>在浴式主冷蒸发器液氧中碳氢化合物和其他有害物质浓度二级报警值</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76"/>
        <w:gridCol w:w="2294"/>
        <w:gridCol w:w="1595"/>
        <w:gridCol w:w="25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杂质名称</w:t>
            </w:r>
          </w:p>
        </w:tc>
        <w:tc>
          <w:tcPr>
            <w:tcW w:w="1276" w:type="dxa"/>
            <w:vMerge w:val="restart"/>
            <w:tcBorders>
              <w:top w:val="single" w:color="auto" w:sz="8"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分子式</w:t>
            </w:r>
          </w:p>
        </w:tc>
        <w:tc>
          <w:tcPr>
            <w:tcW w:w="3889" w:type="dxa"/>
            <w:gridSpan w:val="2"/>
            <w:tcBorders>
              <w:top w:val="single" w:color="auto" w:sz="8" w:space="0"/>
              <w:left w:val="single" w:color="auto" w:sz="4" w:space="0"/>
              <w:bottom w:val="single" w:color="auto" w:sz="8" w:space="0"/>
              <w:right w:val="single" w:color="auto" w:sz="4" w:space="0"/>
            </w:tcBorders>
            <w:vAlign w:val="center"/>
          </w:tcPr>
          <w:p>
            <w:pPr>
              <w:jc w:val="center"/>
              <w:rPr>
                <w:rFonts w:ascii="宋体"/>
                <w:sz w:val="18"/>
              </w:rPr>
            </w:pPr>
            <w:r>
              <w:rPr>
                <w:rFonts w:hint="eastAsia" w:ascii="宋体"/>
                <w:sz w:val="18"/>
              </w:rPr>
              <w:t>浴式主冷液氧中有害成分的报警值/ppm</w:t>
            </w:r>
          </w:p>
        </w:tc>
        <w:tc>
          <w:tcPr>
            <w:tcW w:w="2569" w:type="dxa"/>
            <w:vMerge w:val="restart"/>
            <w:tcBorders>
              <w:top w:val="single" w:color="auto" w:sz="8"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-181℃时，液氧中的溶解度</w:t>
            </w:r>
          </w:p>
          <w:p>
            <w:pPr>
              <w:jc w:val="center"/>
              <w:rPr>
                <w:rFonts w:ascii="宋体"/>
                <w:sz w:val="18"/>
              </w:rPr>
            </w:pPr>
            <w:r>
              <w:rPr>
                <w:rFonts w:hint="eastAsia" w:ascii="宋体"/>
                <w:sz w:val="18"/>
              </w:rPr>
              <w:t>ppm (Xs)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Borders>
              <w:top w:val="single" w:color="auto" w:sz="8" w:space="0"/>
              <w:left w:val="single" w:color="auto" w:sz="8" w:space="0"/>
              <w:bottom w:val="single" w:color="auto" w:sz="4" w:space="0"/>
              <w:right w:val="single" w:color="auto" w:sz="4" w:space="0"/>
            </w:tcBorders>
            <w:vAlign w:val="center"/>
          </w:tcPr>
          <w:p>
            <w:pPr>
              <w:jc w:val="left"/>
              <w:rPr>
                <w:rFonts w:ascii="宋体"/>
                <w:sz w:val="18"/>
              </w:rPr>
            </w:pPr>
          </w:p>
        </w:tc>
        <w:tc>
          <w:tcPr>
            <w:tcW w:w="1276" w:type="dxa"/>
            <w:vMerge w:val="continue"/>
            <w:tcBorders>
              <w:top w:val="single" w:color="auto" w:sz="8" w:space="0"/>
              <w:left w:val="single" w:color="auto" w:sz="4" w:space="0"/>
              <w:bottom w:val="single" w:color="auto" w:sz="4" w:space="0"/>
              <w:right w:val="single" w:color="auto" w:sz="4" w:space="0"/>
            </w:tcBorders>
            <w:vAlign w:val="center"/>
          </w:tcPr>
          <w:p>
            <w:pPr>
              <w:jc w:val="left"/>
              <w:rPr>
                <w:rFonts w:ascii="宋体"/>
                <w:sz w:val="18"/>
              </w:rPr>
            </w:pPr>
          </w:p>
        </w:tc>
        <w:tc>
          <w:tcPr>
            <w:tcW w:w="2294" w:type="dxa"/>
            <w:tcBorders>
              <w:top w:val="single" w:color="auto" w:sz="8"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在主冷中完全液氧蒸发</w:t>
            </w:r>
          </w:p>
        </w:tc>
        <w:tc>
          <w:tcPr>
            <w:tcW w:w="1595" w:type="dxa"/>
            <w:tcBorders>
              <w:top w:val="single" w:color="auto" w:sz="8"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其他情况</w:t>
            </w:r>
          </w:p>
        </w:tc>
        <w:tc>
          <w:tcPr>
            <w:tcW w:w="2569" w:type="dxa"/>
            <w:vMerge w:val="continue"/>
            <w:tcBorders>
              <w:top w:val="single" w:color="auto" w:sz="8" w:space="0"/>
              <w:left w:val="single" w:color="auto" w:sz="4" w:space="0"/>
              <w:bottom w:val="single" w:color="auto" w:sz="4" w:space="0"/>
              <w:right w:val="single" w:color="auto" w:sz="8" w:space="0"/>
            </w:tcBorders>
            <w:vAlign w:val="center"/>
          </w:tcPr>
          <w:p>
            <w:pPr>
              <w:jc w:val="left"/>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sz w:val="18"/>
                <w:szCs w:val="18"/>
              </w:rPr>
            </w:pPr>
            <w:r>
              <w:rPr>
                <w:rFonts w:hint="eastAsia" w:ascii="宋体" w:hAnsi="宋体" w:cs="仿宋"/>
                <w:sz w:val="18"/>
                <w:szCs w:val="18"/>
              </w:rPr>
              <w:t>甲烷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CH</w:t>
            </w:r>
            <w:r>
              <w:rPr>
                <w:rFonts w:hint="eastAsia" w:ascii="宋体"/>
                <w:sz w:val="18"/>
                <w:vertAlign w:val="subscript"/>
              </w:rPr>
              <w:t>4</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500</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500</w:t>
            </w:r>
          </w:p>
        </w:tc>
        <w:tc>
          <w:tcPr>
            <w:tcW w:w="2569" w:type="dxa"/>
            <w:tcBorders>
              <w:top w:val="single" w:color="auto" w:sz="4" w:space="0"/>
              <w:left w:val="single" w:color="auto" w:sz="4" w:space="0"/>
              <w:bottom w:val="single" w:color="auto" w:sz="4" w:space="0"/>
              <w:right w:val="single" w:color="auto" w:sz="8" w:space="0"/>
            </w:tcBorders>
            <w:vAlign w:val="center"/>
          </w:tcPr>
          <w:p>
            <w:pPr>
              <w:spacing w:after="60"/>
              <w:jc w:val="center"/>
              <w:rPr>
                <w:rFonts w:ascii="宋体"/>
                <w:sz w:val="18"/>
              </w:rPr>
            </w:pPr>
            <w:r>
              <w:rPr>
                <w:rFonts w:hint="eastAsia" w:ascii="宋体"/>
                <w:sz w:val="18"/>
              </w:rPr>
              <w:t>Miscible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sz w:val="18"/>
                <w:szCs w:val="18"/>
              </w:rPr>
            </w:pPr>
            <w:r>
              <w:rPr>
                <w:rFonts w:hint="eastAsia" w:ascii="宋体" w:hAnsi="宋体" w:cs="仿宋"/>
                <w:sz w:val="18"/>
                <w:szCs w:val="18"/>
              </w:rPr>
              <w:t>乙烷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2</w:t>
            </w:r>
            <w:r>
              <w:rPr>
                <w:rFonts w:hint="eastAsia" w:ascii="宋体"/>
                <w:sz w:val="18"/>
              </w:rPr>
              <w:t>H</w:t>
            </w:r>
            <w:r>
              <w:rPr>
                <w:rFonts w:hint="eastAsia" w:ascii="宋体"/>
                <w:sz w:val="18"/>
                <w:vertAlign w:val="subscript"/>
              </w:rPr>
              <w:t>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 xml:space="preserve">200 </w:t>
            </w:r>
            <w:r>
              <w:rPr>
                <w:rFonts w:hint="eastAsia" w:ascii="宋体"/>
                <w:sz w:val="18"/>
                <w:vertAlign w:val="superscript"/>
              </w:rPr>
              <w:t>b</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200</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128 000～250 000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sz w:val="18"/>
                <w:szCs w:val="18"/>
              </w:rPr>
            </w:pPr>
            <w:r>
              <w:rPr>
                <w:rFonts w:hint="eastAsia" w:ascii="宋体" w:hAnsi="宋体" w:cs="仿宋"/>
                <w:sz w:val="18"/>
                <w:szCs w:val="18"/>
              </w:rPr>
              <w:t>乙烯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2</w:t>
            </w:r>
            <w:r>
              <w:rPr>
                <w:rFonts w:hint="eastAsia" w:ascii="宋体"/>
                <w:sz w:val="18"/>
              </w:rPr>
              <w:t>H</w:t>
            </w:r>
            <w:r>
              <w:rPr>
                <w:rFonts w:hint="eastAsia" w:ascii="宋体"/>
                <w:sz w:val="18"/>
                <w:vertAlign w:val="subscript"/>
              </w:rPr>
              <w:t>4</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 xml:space="preserve">40 </w:t>
            </w:r>
            <w:r>
              <w:rPr>
                <w:rFonts w:hint="eastAsia" w:ascii="宋体"/>
                <w:sz w:val="18"/>
                <w:vertAlign w:val="superscript"/>
              </w:rPr>
              <w:t>b</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40</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13 000～30 000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sz w:val="18"/>
                <w:szCs w:val="18"/>
              </w:rPr>
            </w:pPr>
            <w:r>
              <w:rPr>
                <w:rFonts w:hint="eastAsia" w:ascii="宋体" w:hAnsi="宋体" w:cs="仿宋"/>
                <w:sz w:val="18"/>
                <w:szCs w:val="18"/>
              </w:rPr>
              <w:t>乙炔</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2</w:t>
            </w:r>
            <w:r>
              <w:rPr>
                <w:rFonts w:hint="eastAsia" w:ascii="宋体"/>
                <w:sz w:val="18"/>
              </w:rPr>
              <w:t>H</w:t>
            </w:r>
            <w:r>
              <w:rPr>
                <w:rFonts w:hint="eastAsia" w:ascii="宋体"/>
                <w:sz w:val="18"/>
                <w:vertAlign w:val="subscript"/>
              </w:rPr>
              <w:t>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0.5</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0.5</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4～6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sz w:val="18"/>
                <w:szCs w:val="18"/>
              </w:rPr>
            </w:pPr>
            <w:r>
              <w:rPr>
                <w:rFonts w:hint="eastAsia" w:ascii="宋体" w:hAnsi="宋体" w:cs="仿宋"/>
                <w:sz w:val="18"/>
                <w:szCs w:val="18"/>
              </w:rPr>
              <w:t>丙烷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3</w:t>
            </w:r>
            <w:r>
              <w:rPr>
                <w:rFonts w:hint="eastAsia" w:ascii="宋体"/>
                <w:sz w:val="18"/>
              </w:rPr>
              <w:t>H</w:t>
            </w:r>
            <w:r>
              <w:rPr>
                <w:rFonts w:hint="eastAsia" w:ascii="宋体"/>
                <w:sz w:val="18"/>
                <w:vertAlign w:val="subscript"/>
              </w:rPr>
              <w:t>8</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 xml:space="preserve">1 </w:t>
            </w:r>
            <w:r>
              <w:rPr>
                <w:rFonts w:hint="eastAsia" w:ascii="宋体"/>
                <w:sz w:val="18"/>
                <w:vertAlign w:val="superscript"/>
              </w:rPr>
              <w:t>c</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20</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9800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sz w:val="18"/>
                <w:szCs w:val="18"/>
              </w:rPr>
            </w:pPr>
            <w:r>
              <w:rPr>
                <w:rFonts w:hint="eastAsia" w:ascii="宋体" w:hAnsi="宋体" w:cs="仿宋"/>
                <w:sz w:val="18"/>
                <w:szCs w:val="18"/>
              </w:rPr>
              <w:t>丙烯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3</w:t>
            </w:r>
            <w:r>
              <w:rPr>
                <w:rFonts w:hint="eastAsia" w:ascii="宋体"/>
                <w:sz w:val="18"/>
              </w:rPr>
              <w:t>H</w:t>
            </w:r>
            <w:r>
              <w:rPr>
                <w:rFonts w:hint="eastAsia" w:ascii="宋体"/>
                <w:sz w:val="18"/>
                <w:vertAlign w:val="subscript"/>
              </w:rPr>
              <w:t>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8</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8</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3 600～6 700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n-丁烷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nC</w:t>
            </w:r>
            <w:r>
              <w:rPr>
                <w:rFonts w:hint="eastAsia" w:ascii="宋体"/>
                <w:sz w:val="18"/>
                <w:vertAlign w:val="subscript"/>
              </w:rPr>
              <w:t>4</w:t>
            </w:r>
            <w:r>
              <w:rPr>
                <w:rFonts w:hint="eastAsia" w:ascii="宋体"/>
                <w:sz w:val="18"/>
              </w:rPr>
              <w:t>H</w:t>
            </w:r>
            <w:r>
              <w:rPr>
                <w:rFonts w:hint="eastAsia" w:ascii="宋体"/>
                <w:sz w:val="18"/>
                <w:vertAlign w:val="subscript"/>
              </w:rPr>
              <w:t>10</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i-丁烷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iC</w:t>
            </w:r>
            <w:r>
              <w:rPr>
                <w:rFonts w:hint="eastAsia" w:ascii="宋体"/>
                <w:sz w:val="18"/>
                <w:vertAlign w:val="subscript"/>
              </w:rPr>
              <w:t>4</w:t>
            </w:r>
            <w:r>
              <w:rPr>
                <w:rFonts w:hint="eastAsia" w:ascii="宋体"/>
                <w:sz w:val="18"/>
              </w:rPr>
              <w:t>H</w:t>
            </w:r>
            <w:r>
              <w:rPr>
                <w:rFonts w:hint="eastAsia" w:ascii="宋体"/>
                <w:sz w:val="18"/>
                <w:vertAlign w:val="subscript"/>
              </w:rPr>
              <w:t>10</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2 500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1-丁烯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4</w:t>
            </w:r>
            <w:r>
              <w:rPr>
                <w:rFonts w:hint="eastAsia" w:ascii="宋体"/>
                <w:sz w:val="18"/>
              </w:rPr>
              <w:t>H</w:t>
            </w:r>
            <w:r>
              <w:rPr>
                <w:rFonts w:hint="eastAsia" w:ascii="宋体"/>
                <w:sz w:val="18"/>
                <w:vertAlign w:val="subscript"/>
              </w:rPr>
              <w:t>8</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1 500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i-丁烯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iC</w:t>
            </w:r>
            <w:r>
              <w:rPr>
                <w:rFonts w:hint="eastAsia" w:ascii="宋体"/>
                <w:sz w:val="18"/>
                <w:vertAlign w:val="subscript"/>
              </w:rPr>
              <w:t>4</w:t>
            </w:r>
            <w:r>
              <w:rPr>
                <w:rFonts w:hint="eastAsia" w:ascii="宋体"/>
                <w:sz w:val="18"/>
              </w:rPr>
              <w:t>H</w:t>
            </w:r>
            <w:r>
              <w:rPr>
                <w:rFonts w:hint="eastAsia" w:ascii="宋体"/>
                <w:sz w:val="18"/>
                <w:vertAlign w:val="subscript"/>
              </w:rPr>
              <w:t>8</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1,3 丁二炔</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4</w:t>
            </w:r>
            <w:r>
              <w:rPr>
                <w:rFonts w:hint="eastAsia" w:ascii="宋体"/>
                <w:sz w:val="18"/>
              </w:rPr>
              <w:t>H</w:t>
            </w:r>
            <w:r>
              <w:rPr>
                <w:rFonts w:hint="eastAsia" w:ascii="宋体"/>
                <w:sz w:val="18"/>
                <w:vertAlign w:val="subscript"/>
              </w:rPr>
              <w:t>6</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n-戊烷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5</w:t>
            </w:r>
            <w:r>
              <w:rPr>
                <w:rFonts w:hint="eastAsia" w:ascii="宋体"/>
                <w:sz w:val="18"/>
              </w:rPr>
              <w:t>H</w:t>
            </w:r>
            <w:r>
              <w:rPr>
                <w:rFonts w:hint="eastAsia" w:ascii="宋体"/>
                <w:sz w:val="18"/>
                <w:vertAlign w:val="subscript"/>
              </w:rPr>
              <w:t>12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1-戊烯</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5</w:t>
            </w:r>
            <w:r>
              <w:rPr>
                <w:rFonts w:hint="eastAsia" w:ascii="宋体"/>
                <w:sz w:val="18"/>
              </w:rPr>
              <w:t>H</w:t>
            </w:r>
            <w:r>
              <w:rPr>
                <w:rFonts w:hint="eastAsia" w:ascii="宋体"/>
                <w:sz w:val="18"/>
                <w:vertAlign w:val="subscript"/>
              </w:rPr>
              <w:t>10</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1</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丙酮</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w:t>
            </w:r>
            <w:r>
              <w:rPr>
                <w:rFonts w:hint="eastAsia" w:ascii="宋体"/>
                <w:sz w:val="18"/>
                <w:vertAlign w:val="subscript"/>
              </w:rPr>
              <w:t>3</w:t>
            </w:r>
            <w:r>
              <w:rPr>
                <w:rFonts w:hint="eastAsia" w:ascii="宋体"/>
                <w:sz w:val="18"/>
              </w:rPr>
              <w:t>H</w:t>
            </w:r>
            <w:r>
              <w:rPr>
                <w:rFonts w:hint="eastAsia" w:ascii="宋体"/>
                <w:sz w:val="18"/>
                <w:vertAlign w:val="subscript"/>
              </w:rPr>
              <w:t>6O</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0.3</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0.3</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臭氧</w:t>
            </w:r>
          </w:p>
        </w:tc>
        <w:tc>
          <w:tcPr>
            <w:tcW w:w="1276" w:type="dxa"/>
            <w:tcBorders>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O</w:t>
            </w:r>
            <w:r>
              <w:rPr>
                <w:rFonts w:hint="eastAsia" w:ascii="宋体"/>
                <w:sz w:val="18"/>
                <w:vertAlign w:val="subscript"/>
              </w:rPr>
              <w:t>3</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0.02</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0.02</w:t>
            </w:r>
          </w:p>
        </w:tc>
        <w:tc>
          <w:tcPr>
            <w:tcW w:w="2569" w:type="dxa"/>
            <w:tcBorders>
              <w:left w:val="single" w:color="auto" w:sz="4" w:space="0"/>
              <w:bottom w:val="single" w:color="auto" w:sz="4" w:space="0"/>
              <w:right w:val="single" w:color="auto" w:sz="8" w:space="0"/>
            </w:tcBorders>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氧化亚氮</w:t>
            </w:r>
          </w:p>
        </w:tc>
        <w:tc>
          <w:tcPr>
            <w:tcW w:w="1276" w:type="dxa"/>
            <w:tcBorders>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w:t>
            </w:r>
            <w:r>
              <w:rPr>
                <w:rFonts w:hint="eastAsia" w:ascii="宋体"/>
                <w:sz w:val="18"/>
                <w:vertAlign w:val="subscript"/>
              </w:rPr>
              <w:t>2</w:t>
            </w:r>
            <w:r>
              <w:rPr>
                <w:rFonts w:hint="eastAsia" w:ascii="宋体"/>
                <w:sz w:val="18"/>
              </w:rPr>
              <w:t>O</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 xml:space="preserve">10 </w:t>
            </w:r>
            <w:r>
              <w:rPr>
                <w:rFonts w:hint="eastAsia" w:ascii="宋体"/>
                <w:sz w:val="18"/>
                <w:vertAlign w:val="superscript"/>
              </w:rPr>
              <w:t>d</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60</w:t>
            </w:r>
          </w:p>
        </w:tc>
        <w:tc>
          <w:tcPr>
            <w:tcW w:w="2569" w:type="dxa"/>
            <w:tcBorders>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140～160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一氧化氮</w:t>
            </w:r>
          </w:p>
        </w:tc>
        <w:tc>
          <w:tcPr>
            <w:tcW w:w="1276" w:type="dxa"/>
            <w:tcBorders>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NO</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w:t>
            </w:r>
          </w:p>
        </w:tc>
        <w:tc>
          <w:tcPr>
            <w:tcW w:w="2569" w:type="dxa"/>
            <w:tcBorders>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二氧化氮</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NO</w:t>
            </w:r>
            <w:r>
              <w:rPr>
                <w:rFonts w:hint="eastAsia" w:ascii="宋体"/>
                <w:sz w:val="18"/>
                <w:vertAlign w:val="subscript"/>
              </w:rPr>
              <w:t>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4</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4</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left w:val="single" w:color="auto" w:sz="8" w:space="0"/>
              <w:bottom w:val="single" w:color="auto" w:sz="4" w:space="0"/>
              <w:right w:val="single" w:color="auto" w:sz="4" w:space="0"/>
            </w:tcBorders>
            <w:vAlign w:val="center"/>
          </w:tcPr>
          <w:p>
            <w:pPr>
              <w:jc w:val="center"/>
              <w:rPr>
                <w:rFonts w:ascii="宋体"/>
                <w:sz w:val="18"/>
              </w:rPr>
            </w:pPr>
            <w:r>
              <w:rPr>
                <w:rFonts w:hint="eastAsia" w:ascii="宋体"/>
                <w:sz w:val="18"/>
              </w:rPr>
              <w:t>二氧化碳</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CO</w:t>
            </w:r>
            <w:r>
              <w:rPr>
                <w:rFonts w:hint="eastAsia" w:ascii="宋体"/>
                <w:sz w:val="18"/>
                <w:vertAlign w:val="subscript"/>
              </w:rPr>
              <w:t>2</w:t>
            </w:r>
          </w:p>
        </w:tc>
        <w:tc>
          <w:tcPr>
            <w:tcW w:w="229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rPr>
            </w:pPr>
            <w:r>
              <w:rPr>
                <w:rFonts w:hint="eastAsia" w:ascii="宋体"/>
                <w:sz w:val="18"/>
              </w:rPr>
              <w:t>2</w:t>
            </w:r>
          </w:p>
        </w:tc>
        <w:tc>
          <w:tcPr>
            <w:tcW w:w="2569" w:type="dxa"/>
            <w:tcBorders>
              <w:top w:val="single" w:color="auto" w:sz="4" w:space="0"/>
              <w:left w:val="single" w:color="auto" w:sz="4" w:space="0"/>
              <w:bottom w:val="single" w:color="auto" w:sz="4" w:space="0"/>
              <w:right w:val="single" w:color="auto" w:sz="8" w:space="0"/>
            </w:tcBorders>
            <w:vAlign w:val="center"/>
          </w:tcPr>
          <w:p>
            <w:pPr>
              <w:jc w:val="center"/>
              <w:rPr>
                <w:rFonts w:ascii="宋体"/>
                <w:sz w:val="18"/>
              </w:rPr>
            </w:pPr>
            <w:r>
              <w:rPr>
                <w:rFonts w:hint="eastAsia" w:ascii="宋体"/>
                <w:sz w:val="18"/>
              </w:rPr>
              <w:t xml:space="preserve">4～5 </w:t>
            </w:r>
            <w:r>
              <w:rPr>
                <w:rFonts w:hint="eastAsia" w:ascii="宋体"/>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49" w:type="dxa"/>
            <w:gridSpan w:val="5"/>
            <w:tcBorders>
              <w:top w:val="single" w:color="auto" w:sz="4" w:space="0"/>
              <w:left w:val="single" w:color="auto" w:sz="8" w:space="0"/>
              <w:bottom w:val="single" w:color="auto" w:sz="4" w:space="0"/>
              <w:right w:val="single" w:color="auto" w:sz="8" w:space="0"/>
            </w:tcBorders>
            <w:vAlign w:val="center"/>
          </w:tcPr>
          <w:p>
            <w:pPr>
              <w:numPr>
                <w:ilvl w:val="0"/>
                <w:numId w:val="25"/>
              </w:numPr>
              <w:rPr>
                <w:rFonts w:ascii="宋体"/>
                <w:sz w:val="18"/>
                <w:szCs w:val="18"/>
              </w:rPr>
            </w:pPr>
            <w:r>
              <w:rPr>
                <w:rFonts w:hint="eastAsia" w:ascii="宋体"/>
                <w:sz w:val="18"/>
                <w:szCs w:val="18"/>
              </w:rPr>
              <w:t>溶解度范围影响因素取决于不同的试验数据来源。</w:t>
            </w:r>
          </w:p>
          <w:p>
            <w:pPr>
              <w:numPr>
                <w:ilvl w:val="0"/>
                <w:numId w:val="25"/>
              </w:numPr>
              <w:rPr>
                <w:rFonts w:ascii="宋体"/>
                <w:sz w:val="18"/>
                <w:szCs w:val="18"/>
              </w:rPr>
            </w:pPr>
            <w:r>
              <w:rPr>
                <w:rFonts w:hint="eastAsia" w:ascii="宋体"/>
                <w:sz w:val="18"/>
                <w:szCs w:val="18"/>
              </w:rPr>
              <w:t>这些值远低于10bara条件下的溶解度，但是远大于内压缩流程浴式主冷中液氧浓度的期望值。</w:t>
            </w:r>
          </w:p>
          <w:p>
            <w:pPr>
              <w:numPr>
                <w:ilvl w:val="0"/>
                <w:numId w:val="25"/>
              </w:numPr>
              <w:rPr>
                <w:rFonts w:ascii="宋体"/>
                <w:sz w:val="18"/>
                <w:szCs w:val="18"/>
              </w:rPr>
            </w:pPr>
            <w:r>
              <w:rPr>
                <w:rFonts w:hint="eastAsia" w:ascii="宋体"/>
                <w:sz w:val="18"/>
                <w:szCs w:val="18"/>
              </w:rPr>
              <w:t>该值是在10bara条件下丙烷溶解度的50%。</w:t>
            </w:r>
          </w:p>
          <w:p>
            <w:pPr>
              <w:numPr>
                <w:ilvl w:val="0"/>
                <w:numId w:val="25"/>
              </w:numPr>
              <w:rPr>
                <w:rFonts w:ascii="宋体"/>
                <w:sz w:val="18"/>
                <w:szCs w:val="18"/>
              </w:rPr>
            </w:pPr>
            <w:r>
              <w:rPr>
                <w:rFonts w:hint="eastAsia" w:ascii="宋体"/>
                <w:sz w:val="18"/>
                <w:szCs w:val="18"/>
              </w:rPr>
              <w:t>在10bara条件下氧化亚氮溶解度的50%。</w:t>
            </w:r>
          </w:p>
        </w:tc>
      </w:tr>
    </w:tbl>
    <w:p>
      <w:pPr>
        <w:pStyle w:val="120"/>
        <w:widowControl w:val="0"/>
        <w:jc w:val="both"/>
      </w:pPr>
      <w:r>
        <w:rPr>
          <w:rFonts w:hint="eastAsia"/>
        </w:rPr>
        <w:t>分子筛纯化器后空气中二氧化碳检测与主冷凝蒸发器液氧中二氧化碳检测可采用同一分析仪，应做好两个分析采样点的趋势监控。</w:t>
      </w:r>
    </w:p>
    <w:p>
      <w:pPr>
        <w:pStyle w:val="120"/>
        <w:widowControl w:val="0"/>
        <w:jc w:val="both"/>
      </w:pPr>
      <w:r>
        <w:rPr>
          <w:rFonts w:hint="eastAsia"/>
        </w:rPr>
        <w:t>主冷凝蒸发器液氧中氧化亚氮分析应定期监测。</w:t>
      </w:r>
    </w:p>
    <w:p>
      <w:pPr>
        <w:pStyle w:val="47"/>
        <w:widowControl w:val="0"/>
        <w:spacing w:before="312" w:after="312"/>
      </w:pPr>
      <w:bookmarkStart w:id="155" w:name="_Toc43215140"/>
      <w:bookmarkStart w:id="156" w:name="_Toc43218324"/>
      <w:bookmarkStart w:id="157" w:name="_Toc43218596"/>
      <w:bookmarkStart w:id="158" w:name="_Toc44335573"/>
      <w:bookmarkStart w:id="159" w:name="_Toc46239388"/>
      <w:bookmarkStart w:id="160" w:name="_Toc54446526"/>
      <w:bookmarkStart w:id="161" w:name="_Toc54355461"/>
      <w:bookmarkStart w:id="162" w:name="_Toc44335670"/>
      <w:bookmarkStart w:id="163" w:name="_Toc51244027"/>
      <w:bookmarkStart w:id="164" w:name="_Toc54434960"/>
      <w:bookmarkStart w:id="165" w:name="_Toc44336251"/>
      <w:bookmarkStart w:id="166" w:name="_Toc54447479"/>
      <w:bookmarkStart w:id="167" w:name="_Toc45627597"/>
      <w:r>
        <w:rPr>
          <w:rFonts w:hint="eastAsia"/>
        </w:rPr>
        <w:t>产品储存及输送</w:t>
      </w:r>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44"/>
        <w:widowControl w:val="0"/>
        <w:spacing w:before="156" w:after="156"/>
      </w:pPr>
      <w:r>
        <w:rPr>
          <w:rFonts w:hint="eastAsia"/>
        </w:rPr>
        <w:t>一般要求</w:t>
      </w:r>
    </w:p>
    <w:p>
      <w:pPr>
        <w:pStyle w:val="65"/>
        <w:widowControl w:val="0"/>
        <w:jc w:val="both"/>
      </w:pPr>
      <w:r>
        <w:rPr>
          <w:rFonts w:hint="eastAsia"/>
        </w:rPr>
        <w:t>低温液体平底储罐、</w:t>
      </w:r>
      <w:bookmarkStart w:id="168" w:name="OLE_LINK3"/>
      <w:r>
        <w:rPr>
          <w:rFonts w:hint="eastAsia"/>
        </w:rPr>
        <w:t>真空粉末绝热储罐、低温液体气化器、气体储罐</w:t>
      </w:r>
      <w:bookmarkEnd w:id="168"/>
      <w:r>
        <w:rPr>
          <w:rFonts w:hint="eastAsia"/>
        </w:rPr>
        <w:t>和产品调压输送系统的设计除应符合本标准的规定外，还应符合产品设计、制造、安装等相关标准的规定。</w:t>
      </w:r>
    </w:p>
    <w:p>
      <w:pPr>
        <w:pStyle w:val="65"/>
        <w:widowControl w:val="0"/>
        <w:jc w:val="both"/>
      </w:pPr>
      <w:r>
        <w:rPr>
          <w:rFonts w:hint="eastAsia"/>
        </w:rPr>
        <w:t>产品储存及输送系统各单元设备的设计、平面布置及安全防护系统应考虑大量低温液体泄漏对操作人员和其他公共设施造成的影响和风险。</w:t>
      </w:r>
    </w:p>
    <w:p>
      <w:pPr>
        <w:pStyle w:val="65"/>
        <w:widowControl w:val="0"/>
        <w:jc w:val="both"/>
      </w:pPr>
      <w:r>
        <w:rPr>
          <w:rFonts w:hint="eastAsia"/>
        </w:rPr>
        <w:t>产品储存及输送系统的使用和维护应符合相应操作规程的要求。</w:t>
      </w:r>
    </w:p>
    <w:p>
      <w:pPr>
        <w:pStyle w:val="44"/>
        <w:widowControl w:val="0"/>
        <w:spacing w:before="156" w:after="156"/>
      </w:pPr>
      <w:r>
        <w:rPr>
          <w:rFonts w:hint="eastAsia"/>
        </w:rPr>
        <w:t>低温液体平底储罐设计安全要求</w:t>
      </w:r>
    </w:p>
    <w:p>
      <w:pPr>
        <w:pStyle w:val="65"/>
        <w:widowControl w:val="0"/>
        <w:jc w:val="both"/>
      </w:pPr>
      <w:r>
        <w:rPr>
          <w:rFonts w:hint="eastAsia"/>
        </w:rPr>
        <w:t>低温液体平底储罐的设计、制造、检验和验收应符合JB/T 13369和</w:t>
      </w:r>
      <w:r>
        <w:t>SY/T 0608</w:t>
      </w:r>
      <w:r>
        <w:rPr>
          <w:rFonts w:hint="eastAsia"/>
        </w:rPr>
        <w:t>的规定。</w:t>
      </w:r>
    </w:p>
    <w:p>
      <w:pPr>
        <w:pStyle w:val="65"/>
        <w:widowControl w:val="0"/>
        <w:jc w:val="both"/>
      </w:pPr>
      <w:r>
        <w:rPr>
          <w:rFonts w:hint="eastAsia"/>
        </w:rPr>
        <w:t>内容器的设计载荷应按相应的产品标准考虑各种工况最苛刻组合。外容器应能承受夹层珠光砂的静压和密封氮气的压力，其设计载荷应至少包括风载荷、地震载荷和其它外部载荷。</w:t>
      </w:r>
    </w:p>
    <w:p>
      <w:pPr>
        <w:pStyle w:val="65"/>
        <w:widowControl w:val="0"/>
        <w:jc w:val="both"/>
      </w:pPr>
      <w:r>
        <w:rPr>
          <w:rFonts w:hint="eastAsia"/>
        </w:rPr>
        <w:t>内容器的筒体与罐顶一般应采用承压环连接的自支撑式拱顶结构。承压环与筒体的连接应采用全焊透结构。罐顶宜设计为薄弱结构，使罐体超压时优先从罐顶破裂，防止大量低温液体从容器底部泄漏。</w:t>
      </w:r>
    </w:p>
    <w:p>
      <w:pPr>
        <w:pStyle w:val="65"/>
        <w:widowControl w:val="0"/>
        <w:jc w:val="both"/>
      </w:pPr>
      <w:r>
        <w:rPr>
          <w:rFonts w:hint="eastAsia"/>
        </w:rPr>
        <w:t>内容器的结构设计应能有效防止碳氢化合物聚集。</w:t>
      </w:r>
    </w:p>
    <w:p>
      <w:pPr>
        <w:pStyle w:val="65"/>
        <w:widowControl w:val="0"/>
        <w:jc w:val="both"/>
      </w:pPr>
      <w:r>
        <w:rPr>
          <w:rFonts w:hint="eastAsia"/>
        </w:rPr>
        <w:t>外容器底板和基础表面应采取良好的密封结构，防止水分进入，产生腐蚀。</w:t>
      </w:r>
    </w:p>
    <w:p>
      <w:pPr>
        <w:pStyle w:val="65"/>
        <w:widowControl w:val="0"/>
        <w:jc w:val="both"/>
      </w:pPr>
      <w:r>
        <w:rPr>
          <w:rFonts w:hint="eastAsia"/>
        </w:rPr>
        <w:t>夹层空间应保持微正压，以保证珠光砂的绝热性能。夹层空间的密封气应采用干燥、无油的氮气，密封气分配系统应设计为环形结构，并布置在夹层底部，设置过滤网防止珠光砂堵塞。</w:t>
      </w:r>
    </w:p>
    <w:p>
      <w:pPr>
        <w:pStyle w:val="65"/>
        <w:widowControl w:val="0"/>
        <w:jc w:val="both"/>
      </w:pPr>
      <w:r>
        <w:rPr>
          <w:rFonts w:hint="eastAsia"/>
        </w:rPr>
        <w:t>夹层内管道设计应考虑内外容器和管道系统分别处于不同冷热状态时的最苛刻工况组合，以及外部连接管道的影响。夹层空间的管道不应使用法兰、波纹管、螺纹接头、铝钢接头或挠性金属软管等。</w:t>
      </w:r>
    </w:p>
    <w:p>
      <w:pPr>
        <w:pStyle w:val="65"/>
        <w:widowControl w:val="0"/>
        <w:jc w:val="both"/>
      </w:pPr>
      <w:r>
        <w:rPr>
          <w:rFonts w:hint="eastAsia"/>
        </w:rPr>
        <w:t>所有与内容器相连的管道（包括仪表管和取样管）应采用焊接连接。最高液位以下的管道应采用对焊连接。低温液体管道宜设计为从混凝土基础承台穿出，若需从外容器侧壁穿出时应对壳体连接处进行局部应力分析，并采用不锈钢套筒和良好的绝热结构。</w:t>
      </w:r>
    </w:p>
    <w:p>
      <w:pPr>
        <w:pStyle w:val="65"/>
        <w:widowControl w:val="0"/>
        <w:jc w:val="both"/>
      </w:pPr>
      <w:r>
        <w:rPr>
          <w:rFonts w:hint="eastAsia"/>
        </w:rPr>
        <w:t>与内容器连通的所有低温液体管线应至少设置一个根部截止阀，阀门的位置应靠近外筒壁，且有防破坏保护装置。管径≥DN50的低温液体管道上应设置紧急切断阀，并应靠近外筒壁，以便进行维修。紧急切断阀应具有现场和远程紧急切断功能。</w:t>
      </w:r>
    </w:p>
    <w:p>
      <w:pPr>
        <w:pStyle w:val="65"/>
        <w:widowControl w:val="0"/>
        <w:jc w:val="both"/>
      </w:pPr>
      <w:r>
        <w:rPr>
          <w:rFonts w:hint="eastAsia"/>
        </w:rPr>
        <w:t>与储罐装卸接头连接的外部低温液体装卸管线应配置防拉断阀。</w:t>
      </w:r>
    </w:p>
    <w:p>
      <w:pPr>
        <w:pStyle w:val="65"/>
        <w:widowControl w:val="0"/>
        <w:jc w:val="both"/>
      </w:pPr>
      <w:r>
        <w:rPr>
          <w:rFonts w:hint="eastAsia"/>
        </w:rPr>
        <w:t>内容器应配备自动和手动放空系统。当容器只配备一只自动放空阀时，宜采用故障开的形式（FO），并采用法兰连接，便于维修。放空阀与内容器之间的管道不宜设置手动截止阀，否则应采取挂牌上锁管理。</w:t>
      </w:r>
    </w:p>
    <w:p>
      <w:pPr>
        <w:pStyle w:val="65"/>
        <w:widowControl w:val="0"/>
        <w:jc w:val="both"/>
      </w:pPr>
      <w:r>
        <w:rPr>
          <w:rFonts w:hint="eastAsia"/>
        </w:rPr>
        <w:t>内容器应至少设置两个超压泄放装置，其安全泄放量应大于正常运行条件下同时产生的所有气体量和事故状态下产生的最大泄放量之和。超压泄放装置的出口应有防止雨水和杂物聚集的结构，固定方式应牢固可靠，能有效防止因排放震动引起的密封失效而导致的结冰和堵塞。超压泄放装置排放的气体不应直接冲击储罐顶盖和主要受力部件，不应朝向人员通道或道路。超压泄放装置应定期检验、维修和更换。</w:t>
      </w:r>
    </w:p>
    <w:p>
      <w:pPr>
        <w:pStyle w:val="65"/>
        <w:widowControl w:val="0"/>
        <w:jc w:val="both"/>
      </w:pPr>
      <w:r>
        <w:rPr>
          <w:rFonts w:hint="eastAsia"/>
        </w:rPr>
        <w:t>外容器应设置至少一个呼吸阀和一个紧急放空装置，其泄放和吸入能力应考虑最苛刻工况的组合（如夹层低温液体泄漏、密封气系统超压、大气压力变化及外部环境火灾、内容器冷却速度过快等），若泄放装置设有滤网，安装时应避免珠光砂堵塞。</w:t>
      </w:r>
    </w:p>
    <w:p>
      <w:pPr>
        <w:pStyle w:val="65"/>
        <w:widowControl w:val="0"/>
        <w:jc w:val="both"/>
      </w:pPr>
      <w:r>
        <w:rPr>
          <w:rFonts w:hint="eastAsia"/>
        </w:rPr>
        <w:t>储罐应配有负压保护系统，其吸入量应考虑各种苛刻工况的组合。负压保护系统应与增压管线的自动调节阀、排液管线的紧急切断阀等联锁控制，防止内容器出现负压。增压系统的取液点应尽量位于内容器的最低液位点。</w:t>
      </w:r>
    </w:p>
    <w:p>
      <w:pPr>
        <w:pStyle w:val="65"/>
        <w:widowControl w:val="0"/>
        <w:jc w:val="both"/>
      </w:pPr>
      <w:r>
        <w:rPr>
          <w:rFonts w:hint="eastAsia"/>
        </w:rPr>
        <w:t>液氧储罐应配备两套独立的压力和液位监测系统。</w:t>
      </w:r>
    </w:p>
    <w:p>
      <w:pPr>
        <w:pStyle w:val="65"/>
        <w:widowControl w:val="0"/>
        <w:jc w:val="both"/>
      </w:pPr>
      <w:r>
        <w:rPr>
          <w:rFonts w:hint="eastAsia"/>
        </w:rPr>
        <w:t>储罐的基础设计应考虑储罐设计总重、水压试验重量以及风、雪、冰、地震等载荷组合的最大值。储罐采用架空支柱式的基础平台时，其平台底部与地面的距离应大于1m。若采用地面式结构，储罐基础内应采取防止受冻结冰的措施。</w:t>
      </w:r>
    </w:p>
    <w:p>
      <w:pPr>
        <w:pStyle w:val="65"/>
        <w:widowControl w:val="0"/>
        <w:jc w:val="both"/>
      </w:pPr>
      <w:r>
        <w:rPr>
          <w:rFonts w:hint="eastAsia"/>
        </w:rPr>
        <w:t>内容器及外容器锚固方式宜采用锚带或锚栓结构，预埋于储罐混凝土基础内，并在每个埋地处用钢筋加强。内容器锚固装置应考虑过量充装超压、内容器最低液位超压、地震等极限工况组合，外容器应考虑风载荷、地震载荷和内压等极限工况组合。内容器锚固装置间距不应超过2m，外容器锚固装置间距不应超过4m。</w:t>
      </w:r>
    </w:p>
    <w:p>
      <w:pPr>
        <w:pStyle w:val="65"/>
        <w:widowControl w:val="0"/>
        <w:jc w:val="both"/>
      </w:pPr>
      <w:r>
        <w:rPr>
          <w:rFonts w:hint="eastAsia"/>
        </w:rPr>
        <w:t>泡沫玻璃砖的绝热高度应满足基础平台底部和支柱不结霜（冰）的要求。泡沫玻璃砖层与层之间应用无机粉末或干砂充填，并采用粘结材料等方法，提高整体抗压强度。底部泡沫玻璃砖应根据产品特性选定安全系数。</w:t>
      </w:r>
    </w:p>
    <w:p>
      <w:pPr>
        <w:pStyle w:val="44"/>
        <w:widowControl w:val="0"/>
        <w:spacing w:before="156" w:after="156"/>
      </w:pPr>
      <w:r>
        <w:rPr>
          <w:rFonts w:hint="eastAsia"/>
        </w:rPr>
        <w:t>真空粉末绝热储罐设计安全要求</w:t>
      </w:r>
    </w:p>
    <w:p>
      <w:pPr>
        <w:pStyle w:val="65"/>
        <w:widowControl w:val="0"/>
        <w:jc w:val="both"/>
      </w:pPr>
      <w:r>
        <w:rPr>
          <w:rFonts w:hint="eastAsia"/>
        </w:rPr>
        <w:t>真空粉末绝热储罐的设计、制造、检验和验收应符合</w:t>
      </w:r>
      <w:bookmarkStart w:id="169" w:name="OLE_LINK2"/>
      <w:bookmarkStart w:id="170" w:name="OLE_LINK1"/>
      <w:r>
        <w:rPr>
          <w:rFonts w:hint="eastAsia"/>
        </w:rPr>
        <w:t>GB/T</w:t>
      </w:r>
      <w:r>
        <w:t xml:space="preserve"> </w:t>
      </w:r>
      <w:r>
        <w:rPr>
          <w:rFonts w:hint="eastAsia"/>
        </w:rPr>
        <w:t>18442</w:t>
      </w:r>
      <w:bookmarkEnd w:id="169"/>
      <w:bookmarkEnd w:id="170"/>
      <w:r>
        <w:rPr>
          <w:rFonts w:hint="eastAsia"/>
        </w:rPr>
        <w:t>.</w:t>
      </w:r>
      <w:r>
        <w:t>1</w:t>
      </w:r>
      <w:r>
        <w:rPr>
          <w:rFonts w:hint="eastAsia" w:hAnsi="宋体"/>
        </w:rPr>
        <w:t>～</w:t>
      </w:r>
      <w:r>
        <w:t>7</w:t>
      </w:r>
      <w:r>
        <w:rPr>
          <w:rFonts w:hint="eastAsia"/>
        </w:rPr>
        <w:t>的规定。</w:t>
      </w:r>
    </w:p>
    <w:p>
      <w:pPr>
        <w:pStyle w:val="65"/>
        <w:widowControl w:val="0"/>
        <w:jc w:val="both"/>
      </w:pPr>
      <w:r>
        <w:rPr>
          <w:rFonts w:hint="eastAsia"/>
        </w:rPr>
        <w:t>储罐的机械设计寿命不应少于20年，真空寿命不应少于5年。</w:t>
      </w:r>
    </w:p>
    <w:p>
      <w:pPr>
        <w:pStyle w:val="65"/>
        <w:widowControl w:val="0"/>
        <w:jc w:val="both"/>
      </w:pPr>
      <w:r>
        <w:rPr>
          <w:rFonts w:hint="eastAsia"/>
        </w:rPr>
        <w:t>储罐应按GB/T</w:t>
      </w:r>
      <w:r>
        <w:t xml:space="preserve"> </w:t>
      </w:r>
      <w:r>
        <w:rPr>
          <w:rFonts w:hint="eastAsia"/>
        </w:rPr>
        <w:t>18442.5的规定进行低温性能型式试验。</w:t>
      </w:r>
    </w:p>
    <w:p>
      <w:pPr>
        <w:pStyle w:val="65"/>
        <w:widowControl w:val="0"/>
        <w:jc w:val="both"/>
      </w:pPr>
      <w:r>
        <w:rPr>
          <w:rFonts w:hint="eastAsia"/>
        </w:rPr>
        <w:t>自增压器的设计能力应能满足用户在正常工作状态和应急调峰状态对储罐供气流量和内容器升压速度的要求。</w:t>
      </w:r>
    </w:p>
    <w:p>
      <w:pPr>
        <w:pStyle w:val="65"/>
        <w:widowControl w:val="0"/>
        <w:jc w:val="both"/>
      </w:pPr>
      <w:r>
        <w:rPr>
          <w:rFonts w:hint="eastAsia"/>
        </w:rPr>
        <w:t>与储罐相连的气化器，应能满足用户在正常工作状态和应急调峰状态对供气压力、流量和气体温度的要求，且应考虑液体过冷度和环境条件对气化能力的影响。气化器压力等级应不小于内容器的设计压力。</w:t>
      </w:r>
    </w:p>
    <w:p>
      <w:pPr>
        <w:pStyle w:val="44"/>
        <w:widowControl w:val="0"/>
        <w:spacing w:before="156" w:after="156"/>
      </w:pPr>
      <w:r>
        <w:rPr>
          <w:rFonts w:hint="eastAsia"/>
        </w:rPr>
        <w:t>低温液体气化器设计安全要求</w:t>
      </w:r>
    </w:p>
    <w:p>
      <w:pPr>
        <w:pStyle w:val="65"/>
        <w:widowControl w:val="0"/>
        <w:jc w:val="both"/>
        <w:rPr>
          <w:spacing w:val="-4"/>
        </w:rPr>
      </w:pPr>
      <w:r>
        <w:rPr>
          <w:rFonts w:hint="eastAsia"/>
          <w:spacing w:val="-4"/>
        </w:rPr>
        <w:t>低温液体气化器设计、制造、检验和验收除满足产品标准外，若属于压力容器，还应满足TSG 21的规定。</w:t>
      </w:r>
    </w:p>
    <w:p>
      <w:pPr>
        <w:pStyle w:val="65"/>
        <w:widowControl w:val="0"/>
        <w:jc w:val="both"/>
      </w:pPr>
      <w:r>
        <w:rPr>
          <w:rFonts w:hint="eastAsia"/>
        </w:rPr>
        <w:t>水浴式气化器的结构设计应避免外壳出现结霜、冒汗等情况。空浴式气化器设计的连续工作时间一般不小于8小时。</w:t>
      </w:r>
    </w:p>
    <w:p>
      <w:pPr>
        <w:pStyle w:val="65"/>
        <w:widowControl w:val="0"/>
        <w:jc w:val="both"/>
      </w:pPr>
      <w:r>
        <w:rPr>
          <w:rFonts w:hint="eastAsia"/>
        </w:rPr>
        <w:t>水浴式气化器蒸汽加热管的设计应避免产生水击或水锤现象，并采取相应措施降低气化器的震动和噪声。当蒸汽压力与蒸汽温度过高时，可在蒸汽进口管道上设置减压、减温装置。</w:t>
      </w:r>
    </w:p>
    <w:p>
      <w:pPr>
        <w:pStyle w:val="65"/>
        <w:widowControl w:val="0"/>
        <w:jc w:val="both"/>
      </w:pPr>
      <w:r>
        <w:rPr>
          <w:rFonts w:hint="eastAsia"/>
        </w:rPr>
        <w:t>低温液体气化器管道及壳体应设置超压泄放装置，其泄放量应满足由于事故造成低温液体大量汽化的事故状态。</w:t>
      </w:r>
    </w:p>
    <w:p>
      <w:pPr>
        <w:pStyle w:val="65"/>
        <w:widowControl w:val="0"/>
        <w:jc w:val="both"/>
      </w:pPr>
      <w:r>
        <w:rPr>
          <w:rFonts w:hint="eastAsia"/>
        </w:rPr>
        <w:t>与低温液体气化器出口连接的管道应设置温度过低报警联锁，最低温度不应低于-</w:t>
      </w:r>
      <w:r>
        <w:t>2</w:t>
      </w:r>
      <w:r>
        <w:rPr>
          <w:rFonts w:hint="eastAsia"/>
        </w:rPr>
        <w:t>0℃。</w:t>
      </w:r>
    </w:p>
    <w:p>
      <w:pPr>
        <w:pStyle w:val="44"/>
        <w:widowControl w:val="0"/>
        <w:spacing w:before="156" w:after="156"/>
      </w:pPr>
      <w:r>
        <w:rPr>
          <w:rFonts w:hint="eastAsia"/>
        </w:rPr>
        <w:t>气体储罐设计安全要求</w:t>
      </w:r>
    </w:p>
    <w:p>
      <w:pPr>
        <w:pStyle w:val="65"/>
        <w:widowControl w:val="0"/>
        <w:jc w:val="both"/>
      </w:pPr>
      <w:r>
        <w:rPr>
          <w:rFonts w:hint="eastAsia"/>
        </w:rPr>
        <w:t>气体储罐可采用卧式、立式或球罐结构，并分别按NB/T</w:t>
      </w:r>
      <w:r>
        <w:t xml:space="preserve"> </w:t>
      </w:r>
      <w:r>
        <w:rPr>
          <w:rFonts w:hint="eastAsia"/>
        </w:rPr>
        <w:t>47042、NB/T</w:t>
      </w:r>
      <w:r>
        <w:t xml:space="preserve"> </w:t>
      </w:r>
      <w:r>
        <w:rPr>
          <w:rFonts w:hint="eastAsia"/>
        </w:rPr>
        <w:t>47041 和GB/T</w:t>
      </w:r>
      <w:r>
        <w:t xml:space="preserve"> </w:t>
      </w:r>
      <w:r>
        <w:rPr>
          <w:rFonts w:hint="eastAsia"/>
        </w:rPr>
        <w:t>12337的规定进行设计、制造、检验和验收。</w:t>
      </w:r>
    </w:p>
    <w:p>
      <w:pPr>
        <w:pStyle w:val="65"/>
      </w:pPr>
      <w:r>
        <w:rPr>
          <w:rFonts w:hint="eastAsia"/>
        </w:rPr>
        <w:t>应按照J</w:t>
      </w:r>
      <w:r>
        <w:t>B 4732</w:t>
      </w:r>
      <w:r>
        <w:rPr>
          <w:rFonts w:hint="eastAsia"/>
        </w:rPr>
        <w:t>的规定对压力波动大、循环次数多的储罐进行疲劳分析设计。</w:t>
      </w:r>
    </w:p>
    <w:p>
      <w:pPr>
        <w:pStyle w:val="65"/>
      </w:pPr>
      <w:r>
        <w:rPr>
          <w:rFonts w:hint="eastAsia"/>
        </w:rPr>
        <w:t>储罐安全泄放量应考虑各种苛刻工况的组合，应明确储罐的进口流量。</w:t>
      </w:r>
    </w:p>
    <w:p>
      <w:pPr>
        <w:pStyle w:val="65"/>
      </w:pPr>
      <w:r>
        <w:rPr>
          <w:rFonts w:hint="eastAsia"/>
        </w:rPr>
        <w:t>当储罐内压力可能出现快速增长的情况时，应采用安全阀与爆破片的组合装置。</w:t>
      </w:r>
    </w:p>
    <w:p>
      <w:pPr>
        <w:pStyle w:val="65"/>
      </w:pPr>
      <w:r>
        <w:rPr>
          <w:rFonts w:hint="eastAsia"/>
        </w:rPr>
        <w:t>当储罐气源为低温液体气化时，应严密监控储罐的进气温度，确保其在设计温度范围内，可在储罐进口管路上设置温度联锁装置。</w:t>
      </w:r>
    </w:p>
    <w:p>
      <w:pPr>
        <w:pStyle w:val="65"/>
      </w:pPr>
      <w:r>
        <w:rPr>
          <w:rFonts w:hint="eastAsia"/>
        </w:rPr>
        <w:t>与高压气体储罐相连的下游管道应能应对因高压气体节流产生的温度下降，宜选用不锈钢材质或设置温度联锁报警系统。</w:t>
      </w:r>
    </w:p>
    <w:p>
      <w:pPr>
        <w:pStyle w:val="44"/>
        <w:widowControl w:val="0"/>
        <w:spacing w:before="156" w:after="156"/>
      </w:pPr>
      <w:r>
        <w:rPr>
          <w:rFonts w:hint="eastAsia"/>
        </w:rPr>
        <w:t>氧气调压输送系统设计安全要求</w:t>
      </w:r>
    </w:p>
    <w:p>
      <w:pPr>
        <w:pStyle w:val="65"/>
        <w:widowControl w:val="0"/>
        <w:jc w:val="both"/>
      </w:pPr>
      <w:r>
        <w:rPr>
          <w:rFonts w:hint="eastAsia"/>
        </w:rPr>
        <w:t>氧气调压系统的设计单位应具有相应的设计资质。</w:t>
      </w:r>
    </w:p>
    <w:p>
      <w:pPr>
        <w:pStyle w:val="65"/>
        <w:widowControl w:val="0"/>
        <w:jc w:val="both"/>
      </w:pPr>
      <w:r>
        <w:rPr>
          <w:rFonts w:hint="eastAsia"/>
        </w:rPr>
        <w:t>氧气调压系统应至少配置过滤器、阻火管段、调节阀、旁通阀，应设置独立的防护墙或阀门室，若有手动阀门，阀杆应伸出墙体外。</w:t>
      </w:r>
    </w:p>
    <w:p>
      <w:pPr>
        <w:pStyle w:val="44"/>
        <w:widowControl w:val="0"/>
        <w:spacing w:before="156" w:after="156"/>
      </w:pPr>
      <w:r>
        <w:rPr>
          <w:rFonts w:hint="eastAsia"/>
        </w:rPr>
        <w:t>储存及输送系统布置要求</w:t>
      </w:r>
    </w:p>
    <w:p>
      <w:pPr>
        <w:pStyle w:val="65"/>
        <w:widowControl w:val="0"/>
        <w:jc w:val="both"/>
      </w:pPr>
      <w:r>
        <w:rPr>
          <w:rFonts w:hint="eastAsia"/>
        </w:rPr>
        <w:t>低温液体储存输送系统的场地布置设计应符合GB 16912和GB 50030的相关规定，并充分考虑周边相关设施的危险性、场内操作人员及周边建筑的安全性。</w:t>
      </w:r>
    </w:p>
    <w:p>
      <w:pPr>
        <w:pStyle w:val="65"/>
        <w:widowControl w:val="0"/>
        <w:jc w:val="both"/>
      </w:pPr>
      <w:r>
        <w:rPr>
          <w:rFonts w:hint="eastAsia"/>
        </w:rPr>
        <w:t>低温液体储存装置的设备、仪表、手动阀门等应设置在易操作和观察的位置。</w:t>
      </w:r>
    </w:p>
    <w:p>
      <w:pPr>
        <w:pStyle w:val="65"/>
        <w:widowControl w:val="0"/>
        <w:jc w:val="both"/>
      </w:pPr>
      <w:r>
        <w:rPr>
          <w:rFonts w:hint="eastAsia"/>
        </w:rPr>
        <w:t>液氧储存及输送系统的周围20m内严禁明火，5m内不应有通向低处（如管沟、坑道、地井、地下室等）的开口，地沟入口处应有挡液围堰。需定期巡检和维护的仪表或设备不宜设置在低点，如无法避免，则应设置相应的警示标识和安全程序。</w:t>
      </w:r>
    </w:p>
    <w:p>
      <w:pPr>
        <w:pStyle w:val="65"/>
        <w:widowControl w:val="0"/>
        <w:jc w:val="both"/>
      </w:pPr>
      <w:r>
        <w:rPr>
          <w:rFonts w:hint="eastAsia"/>
        </w:rPr>
        <w:t>低温液体储存区域宜设置栅栏并设置安全出口，安全出口的门应向外开，周围应设置安全标志，安全标志的要求应符合GB</w:t>
      </w:r>
      <w:r>
        <w:t xml:space="preserve"> </w:t>
      </w:r>
      <w:r>
        <w:rPr>
          <w:rFonts w:hint="eastAsia"/>
        </w:rPr>
        <w:t>2894的规定。</w:t>
      </w:r>
    </w:p>
    <w:p>
      <w:pPr>
        <w:pStyle w:val="65"/>
        <w:widowControl w:val="0"/>
        <w:jc w:val="both"/>
      </w:pPr>
      <w:r>
        <w:rPr>
          <w:rFonts w:hint="eastAsia"/>
        </w:rPr>
        <w:t>低温液体储罐的基础应防火耐热，场地附近应有充足的消防水源和灭火器材。液氧储罐的基础周边不应使用沥青地面，周围5m内不应有易燃易爆物品，保持场地的干净清洁。</w:t>
      </w:r>
    </w:p>
    <w:p>
      <w:pPr>
        <w:pStyle w:val="65"/>
        <w:widowControl w:val="0"/>
        <w:jc w:val="both"/>
      </w:pPr>
      <w:r>
        <w:rPr>
          <w:rFonts w:hint="eastAsia"/>
        </w:rPr>
        <w:t xml:space="preserve">低温液体储罐的安装场所应设置罐车或消防车的环形出入通道。罐车装卸场所应靠近设备区出口，并禁止停放其他车辆，周边区域应保持良好的通风，不应有墙体或其他建筑物阻挡，场地周边地面应采用水泥等不燃材料。 </w:t>
      </w:r>
    </w:p>
    <w:p>
      <w:pPr>
        <w:pStyle w:val="65"/>
        <w:widowControl w:val="0"/>
        <w:jc w:val="both"/>
      </w:pPr>
      <w:r>
        <w:rPr>
          <w:rFonts w:hint="eastAsia"/>
        </w:rPr>
        <w:t>低温液体泵或低温液体气化器宜设置在室外通风场所，不宜设置在建筑物内部。</w:t>
      </w:r>
    </w:p>
    <w:p>
      <w:pPr>
        <w:numPr>
          <w:ilvl w:val="2"/>
          <w:numId w:val="23"/>
        </w:numPr>
        <w:spacing w:before="50" w:after="50"/>
        <w:outlineLvl w:val="3"/>
        <w:rPr>
          <w:rFonts w:ascii="宋体"/>
          <w:kern w:val="0"/>
          <w:szCs w:val="21"/>
        </w:rPr>
      </w:pPr>
      <w:r>
        <w:rPr>
          <w:rFonts w:hint="eastAsia" w:ascii="宋体"/>
          <w:kern w:val="0"/>
          <w:szCs w:val="21"/>
        </w:rPr>
        <w:t>调压装置应设置在专用的调压间内，并配置有防火隔墙，墙体应采用耐燃阻火材料，调压间顶部宜采用无阻挡的开放式结构。</w:t>
      </w:r>
    </w:p>
    <w:p>
      <w:pPr>
        <w:pStyle w:val="44"/>
        <w:widowControl w:val="0"/>
        <w:spacing w:before="156" w:after="156"/>
      </w:pPr>
      <w:r>
        <w:rPr>
          <w:rFonts w:hint="eastAsia"/>
        </w:rPr>
        <w:t>储存及输送系统安装安全要求</w:t>
      </w:r>
    </w:p>
    <w:p>
      <w:pPr>
        <w:pStyle w:val="65"/>
        <w:widowControl w:val="0"/>
        <w:jc w:val="both"/>
      </w:pPr>
      <w:r>
        <w:rPr>
          <w:rFonts w:hint="eastAsia"/>
        </w:rPr>
        <w:t>低温液体平底储罐安装前应编制施工方案，施工方案至少包括工程概述、工艺试验、施工人员组织、施工机具组织、施工材料组织、施工现场组织（现场要求、基础检查、开箱清点等）、储槽安装程序、焊接、无损检测、基础沉降试验、强度与气密性试验、绝热层施工、保温、表面清洁与油漆、设备整体冷试、质量保证、工程质量评定和工程交付、安全技术措施和施工计划等内容。</w:t>
      </w:r>
    </w:p>
    <w:p>
      <w:pPr>
        <w:pStyle w:val="65"/>
        <w:widowControl w:val="0"/>
        <w:jc w:val="both"/>
      </w:pPr>
      <w:r>
        <w:rPr>
          <w:rFonts w:hint="eastAsia"/>
        </w:rPr>
        <w:t>低温液体平底储罐应设有导除静电的接地及防雷装置，接地材质应采用不锈钢，防静电接地电阻应小于10</w:t>
      </w:r>
      <w:r>
        <w:t>Ω</w:t>
      </w:r>
      <w:r>
        <w:rPr>
          <w:rFonts w:hint="eastAsia"/>
        </w:rPr>
        <w:t>，防雷击装置的冲击电阻应不大于30</w:t>
      </w:r>
      <w:r>
        <w:t>Ω</w:t>
      </w:r>
      <w:r>
        <w:rPr>
          <w:rFonts w:hint="eastAsia"/>
        </w:rPr>
        <w:t>。</w:t>
      </w:r>
    </w:p>
    <w:p>
      <w:pPr>
        <w:pStyle w:val="65"/>
        <w:widowControl w:val="0"/>
        <w:jc w:val="both"/>
      </w:pPr>
      <w:r>
        <w:rPr>
          <w:rFonts w:hint="eastAsia"/>
        </w:rPr>
        <w:t>低温液体平底储罐的泡沫玻璃砖安装前应进行抽样检查，其抗压强度应符合国家相关标准要求。安装时应确保表面干燥、铺设紧密平整、层与层之间交错结合。绝热层边缘处应避免采用碎砖进行拼接，砖上的开孔和切口应在现场砌砖时锯出。</w:t>
      </w:r>
    </w:p>
    <w:p>
      <w:pPr>
        <w:pStyle w:val="65"/>
        <w:widowControl w:val="0"/>
        <w:jc w:val="both"/>
      </w:pPr>
      <w:r>
        <w:rPr>
          <w:rFonts w:hint="eastAsia"/>
        </w:rPr>
        <w:t>低温液体平底储罐的制造、安装、检测应符合设计标准的相关要求，内、外容器主体材料应分开运输和保存，避免铁离子污染。不应对现场的零部件采用强力组装、热弯等方式成型。未安装完成的容器应有可靠的固定措施，以应对恶劣天气（大风、大雪等）。</w:t>
      </w:r>
    </w:p>
    <w:p>
      <w:pPr>
        <w:pStyle w:val="65"/>
        <w:widowControl w:val="0"/>
        <w:jc w:val="both"/>
      </w:pPr>
      <w:r>
        <w:rPr>
          <w:rFonts w:hint="eastAsia"/>
        </w:rPr>
        <w:t>储存及输送系统的安装位置应符合GB</w:t>
      </w:r>
      <w:r>
        <w:t xml:space="preserve"> </w:t>
      </w:r>
      <w:r>
        <w:rPr>
          <w:rFonts w:hint="eastAsia"/>
        </w:rPr>
        <w:t>50016和GB</w:t>
      </w:r>
      <w:r>
        <w:t xml:space="preserve"> </w:t>
      </w:r>
      <w:r>
        <w:rPr>
          <w:rFonts w:hint="eastAsia"/>
        </w:rPr>
        <w:t>50030的规定。</w:t>
      </w:r>
    </w:p>
    <w:p>
      <w:pPr>
        <w:pStyle w:val="65"/>
        <w:widowControl w:val="0"/>
        <w:jc w:val="both"/>
      </w:pPr>
      <w:r>
        <w:rPr>
          <w:rFonts w:hint="eastAsia"/>
        </w:rPr>
        <w:t>低温液体储存区域的栅栏范围内，除了设备运行所必需的电缆外，所有可能被低温液体泄漏影响到的区域不应有电缆。区域内的照明应考虑防爆要求，并设置应急照明。</w:t>
      </w:r>
    </w:p>
    <w:p>
      <w:pPr>
        <w:pStyle w:val="44"/>
        <w:widowControl w:val="0"/>
        <w:spacing w:before="156" w:after="156"/>
      </w:pPr>
      <w:r>
        <w:rPr>
          <w:rFonts w:hint="eastAsia"/>
        </w:rPr>
        <w:t>储存及输送系统运行与维护要求</w:t>
      </w:r>
    </w:p>
    <w:p>
      <w:pPr>
        <w:pStyle w:val="65"/>
        <w:widowControl w:val="0"/>
        <w:jc w:val="both"/>
      </w:pPr>
      <w:r>
        <w:rPr>
          <w:rFonts w:hint="eastAsia"/>
        </w:rPr>
        <w:t>系统在投用前应采用干燥、无油的空气或氮气对设备和管道进行吹扫，应对设备及管道的露点进行检查，气体露点应不高于-40℃。</w:t>
      </w:r>
    </w:p>
    <w:p>
      <w:pPr>
        <w:pStyle w:val="65"/>
        <w:jc w:val="both"/>
      </w:pPr>
      <w:r>
        <w:rPr>
          <w:rFonts w:hint="eastAsia"/>
        </w:rPr>
        <w:t>储罐初次进液前，应用干燥、无油的氮气对内容器进行置换。</w:t>
      </w:r>
    </w:p>
    <w:p>
      <w:pPr>
        <w:pStyle w:val="65"/>
        <w:widowControl w:val="0"/>
        <w:jc w:val="both"/>
      </w:pPr>
      <w:r>
        <w:rPr>
          <w:rFonts w:hint="eastAsia"/>
        </w:rPr>
        <w:t>平底储罐的内容器置换完成后，夹层应采用干燥、无油的空气或氮气进行置换。进液前，应再次检查内、外容器的安全泄放装置和仪表阀门，确保其处于正常工作状态，检查确保夹层氮封系统正常。进液前应先对内容器加压至2KPa以上，随后开始对夹层加压并维持压力在0.5K</w:t>
      </w:r>
      <w:r>
        <w:t>P</w:t>
      </w:r>
      <w:r>
        <w:rPr>
          <w:rFonts w:hint="eastAsia"/>
        </w:rPr>
        <w:t>a左右，防止外容器出现负压。</w:t>
      </w:r>
    </w:p>
    <w:p>
      <w:pPr>
        <w:pStyle w:val="65"/>
        <w:widowControl w:val="0"/>
        <w:jc w:val="both"/>
      </w:pPr>
      <w:r>
        <w:rPr>
          <w:rFonts w:hint="eastAsia"/>
        </w:rPr>
        <w:t>储罐的初次进液应采用顶部进液。</w:t>
      </w:r>
    </w:p>
    <w:p>
      <w:pPr>
        <w:pStyle w:val="65"/>
        <w:widowControl w:val="0"/>
        <w:jc w:val="both"/>
      </w:pPr>
      <w:r>
        <w:rPr>
          <w:rFonts w:hint="eastAsia"/>
        </w:rPr>
        <w:t>储罐初次进液前，应编制进液方案，进液方案中应有对流量和温度的控制。当罐内液面达到200mm以上，且温度均匀时，可采用最大设计流量进液。</w:t>
      </w:r>
    </w:p>
    <w:p>
      <w:pPr>
        <w:pStyle w:val="65"/>
        <w:widowControl w:val="0"/>
        <w:jc w:val="both"/>
      </w:pPr>
      <w:r>
        <w:rPr>
          <w:rFonts w:hint="eastAsia"/>
        </w:rPr>
        <w:t>储罐达到液位后，应校核现场液位计和变送器，使其达到正常工作状态。</w:t>
      </w:r>
    </w:p>
    <w:p>
      <w:pPr>
        <w:pStyle w:val="65"/>
        <w:widowControl w:val="0"/>
        <w:jc w:val="both"/>
      </w:pPr>
      <w:r>
        <w:rPr>
          <w:rFonts w:hint="eastAsia"/>
        </w:rPr>
        <w:t>平底储罐在正常工作条件下，内、外容器的工作压力应始终保持在设计值之下，确保所有的安全泄放装置和安全回路控制系统保持在正常工作状态。当设备上的阀门、仪表、管道出口等出现结冰冻结时，不应用铁锤敲打或明火加热，宜用70℃～80℃的干燥、无油的空气、氮气或温水进行融化解冻。</w:t>
      </w:r>
    </w:p>
    <w:p>
      <w:pPr>
        <w:pStyle w:val="65"/>
        <w:widowControl w:val="0"/>
        <w:jc w:val="both"/>
      </w:pPr>
      <w:r>
        <w:rPr>
          <w:rFonts w:hint="eastAsia"/>
        </w:rPr>
        <w:t>液氧储罐内的液氧应定期通过底部排液管进行碳氢化合物含量分析，其含量应符合GB 16912的规定。</w:t>
      </w:r>
    </w:p>
    <w:p>
      <w:pPr>
        <w:pStyle w:val="65"/>
        <w:widowControl w:val="0"/>
        <w:jc w:val="both"/>
      </w:pPr>
      <w:r>
        <w:rPr>
          <w:rFonts w:hint="eastAsia"/>
        </w:rPr>
        <w:t>真空储罐应定期测量夹层真空度，至少每年一次，当夹层真空度低于65Pa时，应停止使用。当低温液体容器外表面出现结霜时，应分析原因并解决问题，严重时应停止使用。</w:t>
      </w:r>
    </w:p>
    <w:p>
      <w:pPr>
        <w:pStyle w:val="65"/>
        <w:widowControl w:val="0"/>
        <w:jc w:val="both"/>
      </w:pPr>
      <w:r>
        <w:rPr>
          <w:rFonts w:hint="eastAsia"/>
        </w:rPr>
        <w:t>真空储罐、低温液体气化器和气体储罐应按</w:t>
      </w:r>
      <w:r>
        <w:t>TSG R7001</w:t>
      </w:r>
      <w:r>
        <w:rPr>
          <w:rFonts w:hint="eastAsia"/>
        </w:rPr>
        <w:t>的规定进行定期检验。</w:t>
      </w:r>
    </w:p>
    <w:p>
      <w:pPr>
        <w:pStyle w:val="65"/>
        <w:widowControl w:val="0"/>
        <w:jc w:val="both"/>
      </w:pPr>
      <w:r>
        <w:rPr>
          <w:rFonts w:hint="eastAsia"/>
        </w:rPr>
        <w:t>平底储罐停用期间，内容器宜保留至少200mm高度的液体，以防止外压超压。若内容器没有充装低温液体，则内容器应充装干燥、无油的氮气进行保护。</w:t>
      </w:r>
    </w:p>
    <w:p>
      <w:pPr>
        <w:pStyle w:val="65"/>
        <w:widowControl w:val="0"/>
        <w:jc w:val="both"/>
      </w:pPr>
      <w:r>
        <w:rPr>
          <w:rFonts w:hint="eastAsia"/>
        </w:rPr>
        <w:t>平底储罐夹层应始终保持微正压以防止潮湿空气的进入，用于密封的氮气应干燥、无油，其露点应不大于-40℃，氧含量小于10ppm。若内容器没有低温液体时，内容器应保持3k</w:t>
      </w:r>
      <w:r>
        <w:t>P</w:t>
      </w:r>
      <w:r>
        <w:rPr>
          <w:rFonts w:hint="eastAsia"/>
        </w:rPr>
        <w:t>a以上的压力。</w:t>
      </w:r>
    </w:p>
    <w:p>
      <w:pPr>
        <w:pStyle w:val="65"/>
        <w:widowControl w:val="0"/>
        <w:jc w:val="both"/>
      </w:pPr>
      <w:r>
        <w:rPr>
          <w:rFonts w:hint="eastAsia"/>
        </w:rPr>
        <w:t>平底储罐应定期检验安全阀（包括管道安全阀），内、外容器呼吸阀，密封气调节阀，自动调节阀，一次仪表及二次仪表等。应定期对低温液体水浴式气化器的盘管进行泄漏检查，对低温报警联锁系统进行定期校验。</w:t>
      </w:r>
    </w:p>
    <w:p>
      <w:pPr>
        <w:pStyle w:val="65"/>
        <w:widowControl w:val="0"/>
        <w:jc w:val="both"/>
      </w:pPr>
      <w:r>
        <w:rPr>
          <w:rFonts w:hint="eastAsia"/>
        </w:rPr>
        <w:t>应至少每周一次对平底储罐的夹层密封气进行成分分析，以确定储罐是否泄漏。应根据土壤条件，对储罐基础稳定性进行长期监测。应定期对储罐外接管道、液位测量系统、安全控制装置及紧急切断阀进行检查和试验。</w:t>
      </w:r>
    </w:p>
    <w:p>
      <w:pPr>
        <w:pStyle w:val="65"/>
        <w:widowControl w:val="0"/>
        <w:jc w:val="both"/>
      </w:pPr>
      <w:r>
        <w:rPr>
          <w:rFonts w:hint="eastAsia"/>
        </w:rPr>
        <w:t>在进入平底储罐内部、夹层空间等受限空间前，应排尽液体并将容器复热至常温。在内容器排空期间，应仔细检查内容器的最低压力。当内容器的压力接近夹层压力时，应打开夹层放空阀与大气连通。</w:t>
      </w:r>
    </w:p>
    <w:p>
      <w:pPr>
        <w:pStyle w:val="65"/>
        <w:widowControl w:val="0"/>
        <w:jc w:val="both"/>
      </w:pPr>
      <w:r>
        <w:rPr>
          <w:rFonts w:hint="eastAsia"/>
        </w:rPr>
        <w:t>排放低温液体或气体时，应将排放物排放到通风良好的安全处，并由专人监护，排放处应设有明显的警示标志。排放液氧时，其排放区域及附近严禁明火和可燃物。</w:t>
      </w:r>
    </w:p>
    <w:p>
      <w:pPr>
        <w:pStyle w:val="65"/>
        <w:widowControl w:val="0"/>
        <w:jc w:val="both"/>
      </w:pPr>
      <w:r>
        <w:rPr>
          <w:rFonts w:hint="eastAsia"/>
        </w:rPr>
        <w:t>检修前应对外部连接的所有管道进行可靠的能源隔离，并用干燥空气对储罐进行置换，检测氧含量合格后方能进入，并严格执行G</w:t>
      </w:r>
      <w:r>
        <w:t>B 30871</w:t>
      </w:r>
      <w:r>
        <w:rPr>
          <w:rFonts w:hint="eastAsia"/>
        </w:rPr>
        <w:t>的相关要求。</w:t>
      </w:r>
    </w:p>
    <w:p>
      <w:pPr>
        <w:pStyle w:val="65"/>
        <w:widowControl w:val="0"/>
        <w:jc w:val="both"/>
      </w:pPr>
      <w:r>
        <w:rPr>
          <w:rFonts w:hint="eastAsia"/>
        </w:rPr>
        <w:t>调压系统维修前，应排空管道内的氧气，并采用干燥、无油的氮气置换合格。严禁带压维修和用氧气进行试压等危险操作。</w:t>
      </w:r>
    </w:p>
    <w:p>
      <w:pPr>
        <w:pStyle w:val="47"/>
        <w:widowControl w:val="0"/>
        <w:spacing w:before="312" w:after="312"/>
      </w:pPr>
      <w:bookmarkStart w:id="171" w:name="_Toc51244028"/>
      <w:bookmarkStart w:id="172" w:name="_Toc54355462"/>
      <w:bookmarkStart w:id="173" w:name="_Toc54434961"/>
      <w:bookmarkStart w:id="174" w:name="_Toc54446527"/>
      <w:bookmarkStart w:id="175" w:name="_Toc43215141"/>
      <w:bookmarkStart w:id="176" w:name="_Toc43218325"/>
      <w:bookmarkStart w:id="177" w:name="_Toc43218597"/>
      <w:bookmarkStart w:id="178" w:name="_Toc44335671"/>
      <w:bookmarkStart w:id="179" w:name="_Toc44336252"/>
      <w:bookmarkStart w:id="180" w:name="_Toc45627598"/>
      <w:bookmarkStart w:id="181" w:name="_Toc46239389"/>
      <w:bookmarkStart w:id="182" w:name="_Toc44335574"/>
      <w:bookmarkStart w:id="183" w:name="_Toc54447480"/>
      <w:r>
        <w:rPr>
          <w:rFonts w:hint="eastAsia"/>
        </w:rPr>
        <w:t>稀有气体装置</w:t>
      </w:r>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44"/>
        <w:widowControl w:val="0"/>
        <w:spacing w:before="156" w:after="156"/>
      </w:pPr>
      <w:r>
        <w:rPr>
          <w:rFonts w:hint="eastAsia"/>
        </w:rPr>
        <w:t>稀有气体净化装置</w:t>
      </w:r>
    </w:p>
    <w:p>
      <w:pPr>
        <w:pStyle w:val="65"/>
        <w:widowControl w:val="0"/>
        <w:jc w:val="both"/>
      </w:pPr>
      <w:r>
        <w:rPr>
          <w:rFonts w:hint="eastAsia"/>
        </w:rPr>
        <w:t>碳氢化合物的含量应控制在规定范围内，严格按设备操作说明书和安全技术操作规程的规定执行。</w:t>
      </w:r>
    </w:p>
    <w:p>
      <w:pPr>
        <w:pStyle w:val="65"/>
        <w:widowControl w:val="0"/>
        <w:jc w:val="both"/>
      </w:pPr>
      <w:r>
        <w:rPr>
          <w:rFonts w:hint="eastAsia"/>
        </w:rPr>
        <w:t>碳氢化合物含量过高会造成触媒反应器温度过高，此时可减少电加热器的辅热。启动净化装置前，液氧中的碳氢化合物的含量应低于规定的极限值。</w:t>
      </w:r>
    </w:p>
    <w:p>
      <w:pPr>
        <w:pStyle w:val="65"/>
        <w:widowControl w:val="0"/>
        <w:jc w:val="both"/>
      </w:pPr>
      <w:r>
        <w:rPr>
          <w:rFonts w:hint="eastAsia"/>
        </w:rPr>
        <w:t>在反应容器和热管道周围应设置保护栏杆。</w:t>
      </w:r>
    </w:p>
    <w:p>
      <w:pPr>
        <w:pStyle w:val="65"/>
        <w:widowControl w:val="0"/>
        <w:jc w:val="both"/>
      </w:pPr>
      <w:r>
        <w:rPr>
          <w:rFonts w:hint="eastAsia"/>
        </w:rPr>
        <w:t>触媒应按规定的使用周期更换，定期对净化装置出口的气体进行分析，确保净化效果，杂质含量超标时应提前更换，防止在精馏塔内造成堵塞。</w:t>
      </w:r>
    </w:p>
    <w:p>
      <w:pPr>
        <w:pStyle w:val="65"/>
        <w:widowControl w:val="0"/>
        <w:jc w:val="both"/>
      </w:pPr>
      <w:r>
        <w:rPr>
          <w:rFonts w:hint="eastAsia"/>
        </w:rPr>
        <w:t>分子筛吸附器运行中应严格执行再生制度，不应随意延长吸附器工作周期。分子筛吸附器出口应设置二氧化碳监测仪，宜设微量水分析仪，应按相关规定控制再生温度、气量、冷吹温度。</w:t>
      </w:r>
    </w:p>
    <w:p>
      <w:pPr>
        <w:pStyle w:val="65"/>
        <w:widowControl w:val="0"/>
        <w:jc w:val="both"/>
      </w:pPr>
      <w:r>
        <w:rPr>
          <w:rFonts w:hint="eastAsia"/>
        </w:rPr>
        <w:t>触媒反应炉顶部应设爆破片安全释放装置。</w:t>
      </w:r>
    </w:p>
    <w:p>
      <w:pPr>
        <w:pStyle w:val="65"/>
        <w:widowControl w:val="0"/>
        <w:jc w:val="both"/>
      </w:pPr>
      <w:r>
        <w:rPr>
          <w:rFonts w:hint="eastAsia"/>
        </w:rPr>
        <w:t>触媒反应炉上部不应设置其它管路、设备等遮挡泄爆口的物体，应预留足够的泄爆空间。</w:t>
      </w:r>
    </w:p>
    <w:p>
      <w:pPr>
        <w:pStyle w:val="65"/>
        <w:widowControl w:val="0"/>
        <w:jc w:val="both"/>
      </w:pPr>
      <w:r>
        <w:rPr>
          <w:rFonts w:hint="eastAsia"/>
        </w:rPr>
        <w:t>粗氖氦中含氢量不宜超过5%，过氧量控制在0.5%～1.0%。</w:t>
      </w:r>
    </w:p>
    <w:p>
      <w:pPr>
        <w:pStyle w:val="44"/>
        <w:widowControl w:val="0"/>
        <w:spacing w:before="156" w:after="156"/>
      </w:pPr>
      <w:r>
        <w:rPr>
          <w:rFonts w:hint="eastAsia"/>
        </w:rPr>
        <w:t>稀有气体装置冷箱</w:t>
      </w:r>
    </w:p>
    <w:p>
      <w:pPr>
        <w:pStyle w:val="65"/>
        <w:widowControl w:val="0"/>
        <w:jc w:val="both"/>
      </w:pPr>
      <w:r>
        <w:rPr>
          <w:rFonts w:hint="eastAsia"/>
        </w:rPr>
        <w:t>运行过程中应保持温度、压力、流量、液面等工艺参数的相对稳定，不应快速大幅度操作加减量，防止产生液泛、结晶堵塞等故障。</w:t>
      </w:r>
    </w:p>
    <w:p>
      <w:pPr>
        <w:pStyle w:val="65"/>
        <w:widowControl w:val="0"/>
        <w:jc w:val="both"/>
      </w:pPr>
      <w:r>
        <w:rPr>
          <w:rFonts w:hint="eastAsia"/>
        </w:rPr>
        <w:t>冷箱内应充入干燥氮气保持正压，应设置正负压力表、呼吸阀等安全装置。</w:t>
      </w:r>
    </w:p>
    <w:p>
      <w:pPr>
        <w:pStyle w:val="65"/>
        <w:widowControl w:val="0"/>
        <w:jc w:val="both"/>
      </w:pPr>
      <w:r>
        <w:rPr>
          <w:rFonts w:hint="eastAsia"/>
        </w:rPr>
        <w:t>新设备投产前或检修后，应根据工艺要求进行测试和模拟试验，确保各种联锁控制达到要求。阀门开关应到位，保证各种联锁保护控制动作灵敏、可靠。</w:t>
      </w:r>
    </w:p>
    <w:p>
      <w:pPr>
        <w:pStyle w:val="65"/>
        <w:widowControl w:val="0"/>
        <w:jc w:val="both"/>
      </w:pPr>
      <w:r>
        <w:rPr>
          <w:rFonts w:hint="eastAsia"/>
        </w:rPr>
        <w:t>定期检验仪表，经常检查仪表的运行情况，不应超量程运行。</w:t>
      </w:r>
    </w:p>
    <w:p>
      <w:pPr>
        <w:pStyle w:val="65"/>
        <w:widowControl w:val="0"/>
        <w:jc w:val="both"/>
      </w:pPr>
      <w:r>
        <w:rPr>
          <w:rFonts w:hint="eastAsia"/>
        </w:rPr>
        <w:t>定期检査系统中所有的联锁装置、事故停车装置,并保证完好。</w:t>
      </w:r>
    </w:p>
    <w:p>
      <w:pPr>
        <w:pStyle w:val="65"/>
        <w:widowControl w:val="0"/>
        <w:jc w:val="both"/>
      </w:pPr>
      <w:r>
        <w:rPr>
          <w:rFonts w:hint="eastAsia"/>
        </w:rPr>
        <w:t>对重要运行参数的监控应设置报警、停车联锁保护装置。</w:t>
      </w:r>
    </w:p>
    <w:p>
      <w:pPr>
        <w:pStyle w:val="65"/>
      </w:pPr>
      <w:r>
        <w:rPr>
          <w:rFonts w:hint="eastAsia"/>
        </w:rPr>
        <w:t>氖氦精制流程采用了真空绝热杜瓦形式的冷箱，运行过程中冷箱内经常处于-200℃～120℃以上的温度交替变化，操作时应缓慢，防止注液氮时箱体内温度过高、温差过大时液氮迅速气化，导致抽真空泵负荷过大，损坏泵组，甚至杜瓦冷箱超压。同理应防止液氮排出后加温时复热速度过快导致残余液氮迅速气化，导致杜瓦冷箱超压。稀有气体工艺流程见附录A。</w:t>
      </w:r>
    </w:p>
    <w:p>
      <w:pPr>
        <w:pStyle w:val="65"/>
        <w:widowControl w:val="0"/>
        <w:jc w:val="both"/>
      </w:pPr>
      <w:r>
        <w:rPr>
          <w:rFonts w:hint="eastAsia"/>
        </w:rPr>
        <w:t>真空绝热杜瓦冷箱应设置安全阀。</w:t>
      </w:r>
    </w:p>
    <w:p>
      <w:pPr>
        <w:pStyle w:val="47"/>
        <w:widowControl w:val="0"/>
        <w:spacing w:before="312" w:after="312"/>
      </w:pPr>
      <w:bookmarkStart w:id="184" w:name="_Toc43218327"/>
      <w:bookmarkStart w:id="185" w:name="_Toc43218599"/>
      <w:bookmarkStart w:id="186" w:name="_Toc44335576"/>
      <w:bookmarkStart w:id="187" w:name="_Toc43215143"/>
      <w:bookmarkStart w:id="188" w:name="_Toc54355463"/>
      <w:bookmarkStart w:id="189" w:name="_Toc44335673"/>
      <w:bookmarkStart w:id="190" w:name="_Toc44336254"/>
      <w:bookmarkStart w:id="191" w:name="_Toc45627600"/>
      <w:bookmarkStart w:id="192" w:name="_Toc46239391"/>
      <w:bookmarkStart w:id="193" w:name="_Toc51244030"/>
      <w:bookmarkStart w:id="194" w:name="_Toc54434962"/>
      <w:bookmarkStart w:id="195" w:name="_Toc54446528"/>
      <w:bookmarkStart w:id="196" w:name="_Toc54447481"/>
      <w:r>
        <w:rPr>
          <w:rFonts w:hint="eastAsia"/>
        </w:rPr>
        <w:t>控制系统</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44"/>
        <w:widowControl w:val="0"/>
        <w:spacing w:before="156" w:after="156"/>
      </w:pPr>
      <w:r>
        <w:rPr>
          <w:rFonts w:hint="eastAsia"/>
        </w:rPr>
        <w:t>空分装置的控制系统</w:t>
      </w:r>
    </w:p>
    <w:p>
      <w:pPr>
        <w:pStyle w:val="48"/>
        <w:widowControl w:val="0"/>
        <w:spacing w:before="156" w:after="156"/>
      </w:pPr>
      <w:r>
        <w:rPr>
          <w:rFonts w:hint="eastAsia"/>
        </w:rPr>
        <w:t>一般要求</w:t>
      </w:r>
    </w:p>
    <w:p>
      <w:pPr>
        <w:pStyle w:val="115"/>
        <w:widowControl w:val="0"/>
        <w:jc w:val="both"/>
      </w:pPr>
      <w:r>
        <w:rPr>
          <w:rFonts w:hint="eastAsia"/>
        </w:rPr>
        <w:t>根据空分装置的规模和复杂程度，控制系统可采用单纯的基本过程控制系统（BPCS），如集散控制系统（DCS），也可采用可编程逻辑控制器（PLC） +人机界面（HMI）。</w:t>
      </w:r>
    </w:p>
    <w:p>
      <w:pPr>
        <w:pStyle w:val="115"/>
        <w:widowControl w:val="0"/>
        <w:jc w:val="both"/>
      </w:pPr>
      <w:r>
        <w:rPr>
          <w:rFonts w:hint="eastAsia"/>
        </w:rPr>
        <w:t>根据风险</w:t>
      </w:r>
      <w:r>
        <w:t>评估确定是否需要配备安全易爆系统（</w:t>
      </w:r>
      <w:r>
        <w:rPr>
          <w:rFonts w:hint="eastAsia"/>
        </w:rPr>
        <w:t>SIS</w:t>
      </w:r>
      <w:r>
        <w:t>）</w:t>
      </w:r>
      <w:r>
        <w:rPr>
          <w:rFonts w:hint="eastAsia"/>
        </w:rPr>
        <w:t>。</w:t>
      </w:r>
    </w:p>
    <w:p>
      <w:pPr>
        <w:pStyle w:val="115"/>
        <w:widowControl w:val="0"/>
        <w:jc w:val="both"/>
      </w:pPr>
      <w:r>
        <w:rPr>
          <w:rFonts w:hint="eastAsia"/>
        </w:rPr>
        <w:t>对于蒸汽透平驱动的压缩机组，蒸汽透平和压缩机组宜采用透平压缩机一体化控制系统（ITCC）。</w:t>
      </w:r>
    </w:p>
    <w:p>
      <w:pPr>
        <w:pStyle w:val="115"/>
        <w:jc w:val="both"/>
      </w:pPr>
      <w:r>
        <w:rPr>
          <w:rFonts w:hint="eastAsia"/>
        </w:rPr>
        <w:t>大型（40000m</w:t>
      </w:r>
      <w:r>
        <w:rPr>
          <w:rFonts w:hint="eastAsia"/>
          <w:vertAlign w:val="superscript"/>
        </w:rPr>
        <w:t>3</w:t>
      </w:r>
      <w:r>
        <w:rPr>
          <w:rFonts w:hint="eastAsia"/>
        </w:rPr>
        <w:t>/h 氧气以上的空分）压缩机组和蒸汽透平宜采用机械监控系统（MMS）对设备的振动和位移等设备状态进行监控。</w:t>
      </w:r>
    </w:p>
    <w:p>
      <w:pPr>
        <w:pStyle w:val="115"/>
        <w:widowControl w:val="0"/>
        <w:jc w:val="both"/>
      </w:pPr>
      <w:r>
        <w:rPr>
          <w:rFonts w:hint="eastAsia"/>
        </w:rPr>
        <w:t>蒸汽透平和膨胀机应配备超速保护系统（OVS）。</w:t>
      </w:r>
    </w:p>
    <w:p>
      <w:pPr>
        <w:pStyle w:val="115"/>
        <w:widowControl w:val="0"/>
        <w:jc w:val="both"/>
      </w:pPr>
      <w:r>
        <w:rPr>
          <w:rFonts w:hint="eastAsia"/>
        </w:rPr>
        <w:t>控制系统的相关示意图见附录B。</w:t>
      </w:r>
    </w:p>
    <w:p>
      <w:pPr>
        <w:pStyle w:val="48"/>
        <w:widowControl w:val="0"/>
        <w:spacing w:before="156" w:after="156"/>
      </w:pPr>
      <w:r>
        <w:rPr>
          <w:rFonts w:hint="eastAsia"/>
        </w:rPr>
        <w:t>基本过程控制系统</w:t>
      </w:r>
    </w:p>
    <w:p>
      <w:pPr>
        <w:pStyle w:val="115"/>
        <w:widowControl w:val="0"/>
        <w:jc w:val="both"/>
      </w:pPr>
      <w:r>
        <w:rPr>
          <w:rFonts w:hint="eastAsia"/>
        </w:rPr>
        <w:t>基本过程控制系统（BPCS）是响应过程测量以及其它相关设备、仪表、控制系统或操作人员的输入信号，按过程控制规律、算法、方式，产生输出信号实现过程控制及其相关设备运行的系统。</w:t>
      </w:r>
    </w:p>
    <w:p>
      <w:pPr>
        <w:pStyle w:val="115"/>
        <w:widowControl w:val="0"/>
        <w:jc w:val="both"/>
      </w:pPr>
      <w:r>
        <w:rPr>
          <w:rFonts w:hint="eastAsia"/>
        </w:rPr>
        <w:t>基本过程控制系统中的中央处理器单元（CPU）宜采用冗余结构，确保在一个CPU故障时，基本过程控制系统的控制功能不受到影响。</w:t>
      </w:r>
    </w:p>
    <w:p>
      <w:pPr>
        <w:pStyle w:val="48"/>
        <w:widowControl w:val="0"/>
        <w:spacing w:before="156" w:after="156"/>
      </w:pPr>
      <w:r>
        <w:rPr>
          <w:rFonts w:hint="eastAsia"/>
        </w:rPr>
        <w:t>安全仪表系统</w:t>
      </w:r>
    </w:p>
    <w:p>
      <w:pPr>
        <w:pStyle w:val="115"/>
        <w:widowControl w:val="0"/>
        <w:jc w:val="both"/>
      </w:pPr>
      <w:r>
        <w:rPr>
          <w:rFonts w:hint="eastAsia"/>
        </w:rPr>
        <w:t>安全仪表系统（SIS）的设计应满足装置的安全仪表功能、安全完整性等级要求。</w:t>
      </w:r>
    </w:p>
    <w:p>
      <w:pPr>
        <w:pStyle w:val="115"/>
        <w:widowControl w:val="0"/>
        <w:jc w:val="both"/>
      </w:pPr>
      <w:r>
        <w:rPr>
          <w:rFonts w:hint="eastAsia"/>
        </w:rPr>
        <w:t>安全仪表系统的设计、运行和维护应符合GB/T 50770等相关规范的要求。</w:t>
      </w:r>
    </w:p>
    <w:p>
      <w:pPr>
        <w:pStyle w:val="115"/>
        <w:widowControl w:val="0"/>
        <w:jc w:val="both"/>
      </w:pPr>
      <w:r>
        <w:rPr>
          <w:rFonts w:hint="eastAsia"/>
        </w:rPr>
        <w:t>安全仪表功能既可由安全仪表系统厂商提供的类似于基本过程控制系统的带安全型中央处理器单元（CPU）和输入输出设备（IO）的控制系统实现，也可由符合安全功能要求的继电器回路实现。</w:t>
      </w:r>
    </w:p>
    <w:p>
      <w:pPr>
        <w:pStyle w:val="115"/>
        <w:widowControl w:val="0"/>
        <w:jc w:val="both"/>
      </w:pPr>
      <w:r>
        <w:rPr>
          <w:rFonts w:hint="eastAsia"/>
        </w:rPr>
        <w:t>安全仪表系统测量仪表、安全仪表控制系统、安全仪表系统最终原件的技术规格书应根据安全完整性等级进行编制。</w:t>
      </w:r>
    </w:p>
    <w:p>
      <w:pPr>
        <w:pStyle w:val="115"/>
        <w:widowControl w:val="0"/>
        <w:jc w:val="both"/>
      </w:pPr>
      <w:r>
        <w:rPr>
          <w:rFonts w:hint="eastAsia"/>
        </w:rPr>
        <w:t>若在安全仪表系统中采用中央处理器单元（CPU），CPU应采用冗余结构，确保在一个CPU故障时，安全仪表系统的控制功能不受到影响。</w:t>
      </w:r>
    </w:p>
    <w:p>
      <w:pPr>
        <w:pStyle w:val="115"/>
        <w:widowControl w:val="0"/>
        <w:jc w:val="both"/>
      </w:pPr>
      <w:r>
        <w:rPr>
          <w:rFonts w:hint="eastAsia"/>
        </w:rPr>
        <w:t>安全仪表回路应根据安全等级水平评估以及保护层分析的结果进行定期的验证，并对验证结果进行记录和存档。安全仪表回路的定期验证应作为装置机械完整性的重要组成部分。</w:t>
      </w:r>
    </w:p>
    <w:p>
      <w:pPr>
        <w:pStyle w:val="115"/>
        <w:widowControl w:val="0"/>
        <w:jc w:val="both"/>
      </w:pPr>
      <w:r>
        <w:rPr>
          <w:rFonts w:hint="eastAsia"/>
        </w:rPr>
        <w:t>安全仪表回路的验证程序的完备性是进行复杂回路验证的重要前提，应对安全仪表回路开发可操作的验证程序。</w:t>
      </w:r>
    </w:p>
    <w:p>
      <w:pPr>
        <w:pStyle w:val="115"/>
        <w:widowControl w:val="0"/>
        <w:jc w:val="both"/>
      </w:pPr>
      <w:r>
        <w:rPr>
          <w:rFonts w:hint="eastAsia"/>
        </w:rPr>
        <w:t>当条件允许时，在进行安全仪表回路的定期验证时应优先考虑“一站式”验证，即：检测单元、逻辑控制单元和执行单元一起验证。当进行“一站式”验证比较困难或者难以实现时，可采用“分步式”验证，即：检测单元和逻辑控制单元一起验证，逻辑控制单元和执行单元一起验证，两步中的逻辑控制单元部分为重叠部分，用于确保从检测单元到逻辑控制单元和执行单元的功能一致性。</w:t>
      </w:r>
    </w:p>
    <w:p>
      <w:pPr>
        <w:pStyle w:val="115"/>
        <w:widowControl w:val="0"/>
        <w:jc w:val="both"/>
      </w:pPr>
      <w:r>
        <w:rPr>
          <w:rFonts w:hint="eastAsia"/>
        </w:rPr>
        <w:t>安全仪表系统的维护旁路开关可按下列方式设置：</w:t>
      </w:r>
    </w:p>
    <w:p>
      <w:pPr>
        <w:pStyle w:val="50"/>
      </w:pPr>
      <w:r>
        <w:rPr>
          <w:rFonts w:hint="eastAsia"/>
        </w:rPr>
        <w:t>在安全仪表系统的操作员站设置软件开关；</w:t>
      </w:r>
    </w:p>
    <w:p>
      <w:pPr>
        <w:pStyle w:val="50"/>
      </w:pPr>
      <w:r>
        <w:rPr>
          <w:rFonts w:hint="eastAsia"/>
        </w:rPr>
        <w:t>在基本过程控制系统的操作员站设置软件开关；</w:t>
      </w:r>
    </w:p>
    <w:p>
      <w:pPr>
        <w:pStyle w:val="50"/>
      </w:pPr>
      <w:r>
        <w:rPr>
          <w:rFonts w:hint="eastAsia"/>
        </w:rPr>
        <w:t>在辅助操作台或机柜设置硬件开关。</w:t>
      </w:r>
    </w:p>
    <w:p>
      <w:pPr>
        <w:pStyle w:val="115"/>
        <w:widowControl w:val="0"/>
        <w:jc w:val="both"/>
      </w:pPr>
      <w:r>
        <w:rPr>
          <w:rFonts w:hint="eastAsia"/>
        </w:rPr>
        <w:t>采用软件开关时，每个安全联锁单元宜设硬件旁路开关作为软件开关的“允许”条件。</w:t>
      </w:r>
    </w:p>
    <w:p>
      <w:pPr>
        <w:pStyle w:val="115"/>
        <w:widowControl w:val="0"/>
        <w:jc w:val="both"/>
      </w:pPr>
      <w:r>
        <w:rPr>
          <w:rFonts w:hint="eastAsia"/>
        </w:rPr>
        <w:t>当维护旁路开关为软件开关时，其动作应设置报警和记录。</w:t>
      </w:r>
    </w:p>
    <w:p>
      <w:pPr>
        <w:pStyle w:val="115"/>
        <w:widowControl w:val="0"/>
        <w:jc w:val="both"/>
      </w:pPr>
      <w:r>
        <w:rPr>
          <w:rFonts w:hint="eastAsia"/>
        </w:rPr>
        <w:t>安全仪表系统的操作旁路开关可按下列方式设置：</w:t>
      </w:r>
    </w:p>
    <w:p>
      <w:pPr>
        <w:pStyle w:val="50"/>
      </w:pPr>
      <w:r>
        <w:rPr>
          <w:rFonts w:hint="eastAsia"/>
        </w:rPr>
        <w:t>在安全仪表系统的操作员站设置软件开关；</w:t>
      </w:r>
    </w:p>
    <w:p>
      <w:pPr>
        <w:pStyle w:val="50"/>
      </w:pPr>
      <w:r>
        <w:rPr>
          <w:rFonts w:hint="eastAsia"/>
        </w:rPr>
        <w:t>在基本过程控制系统的操作员站设置软件开关；</w:t>
      </w:r>
    </w:p>
    <w:p>
      <w:pPr>
        <w:pStyle w:val="50"/>
      </w:pPr>
      <w:r>
        <w:rPr>
          <w:rFonts w:hint="eastAsia"/>
        </w:rPr>
        <w:t>在辅助操作台或机柜设置硬件开关。</w:t>
      </w:r>
    </w:p>
    <w:p>
      <w:pPr>
        <w:pStyle w:val="115"/>
        <w:widowControl w:val="0"/>
        <w:jc w:val="both"/>
      </w:pPr>
      <w:r>
        <w:rPr>
          <w:rFonts w:hint="eastAsia"/>
        </w:rPr>
        <w:t>当工艺过程变量从初始值变化到工艺条件正常值，信号状态不改变时，不应设置操作旁路开关，否则应设置操作旁路开关。</w:t>
      </w:r>
    </w:p>
    <w:p>
      <w:pPr>
        <w:pStyle w:val="115"/>
        <w:widowControl w:val="0"/>
        <w:jc w:val="both"/>
      </w:pPr>
      <w:r>
        <w:rPr>
          <w:rFonts w:hint="eastAsia"/>
        </w:rPr>
        <w:t>当操作旁路开关为软件开关时，其动作应设置报警和记录。</w:t>
      </w:r>
    </w:p>
    <w:p>
      <w:pPr>
        <w:pStyle w:val="115"/>
        <w:widowControl w:val="0"/>
        <w:jc w:val="both"/>
      </w:pPr>
      <w:r>
        <w:rPr>
          <w:rFonts w:hint="eastAsia"/>
        </w:rPr>
        <w:t>操作维护人员应定期培训，培训内容应包括安全仪表系统的功能、可预防的过程危险、测量仪表和最终元件、安全仪表系统的逻辑动作、安全仪表系统及过程变量的报警、安全仪表系统动作后的处理等。</w:t>
      </w:r>
    </w:p>
    <w:p>
      <w:pPr>
        <w:pStyle w:val="48"/>
        <w:widowControl w:val="0"/>
        <w:spacing w:before="156" w:after="156"/>
      </w:pPr>
      <w:r>
        <w:rPr>
          <w:rFonts w:hint="eastAsia"/>
        </w:rPr>
        <w:t>蒸汽透平和压缩机一体化控制系统</w:t>
      </w:r>
    </w:p>
    <w:p>
      <w:pPr>
        <w:pStyle w:val="115"/>
        <w:widowControl w:val="0"/>
        <w:jc w:val="both"/>
      </w:pPr>
      <w:r>
        <w:rPr>
          <w:rFonts w:hint="eastAsia"/>
        </w:rPr>
        <w:t>在由蒸汽透平驱动的空分装置中，透平和压缩机组可由透平和压缩机一体化控制系统（ITCC）控制，也可由满足功能和安全要求的基本过程控制系统和安全仪表系统控制。</w:t>
      </w:r>
    </w:p>
    <w:p>
      <w:pPr>
        <w:pStyle w:val="115"/>
        <w:widowControl w:val="0"/>
        <w:jc w:val="both"/>
      </w:pPr>
      <w:r>
        <w:rPr>
          <w:rFonts w:hint="eastAsia"/>
        </w:rPr>
        <w:t>透平和压缩机一体化控制系统（ITCC）中的安全仪表回路应按照安全仪表回路进行设计、运行和维护。</w:t>
      </w:r>
    </w:p>
    <w:p>
      <w:pPr>
        <w:pStyle w:val="115"/>
        <w:widowControl w:val="0"/>
        <w:jc w:val="both"/>
      </w:pPr>
      <w:r>
        <w:rPr>
          <w:rFonts w:hint="eastAsia"/>
        </w:rPr>
        <w:t>透平和压缩机一体化控制系统（ITCC）应提供机组跳车的首出功能，方便工作人员在机组跳车时能快速查找跳车的根本原因。</w:t>
      </w:r>
    </w:p>
    <w:p>
      <w:pPr>
        <w:pStyle w:val="115"/>
        <w:widowControl w:val="0"/>
        <w:jc w:val="both"/>
      </w:pPr>
      <w:r>
        <w:rPr>
          <w:rFonts w:hint="eastAsia"/>
        </w:rPr>
        <w:t>宜将透平和压缩机一体化控制系统（ITCC）的关键参数传递到基本过程控制系统，方便集中监控和机组运行状态的评估和优化。</w:t>
      </w:r>
    </w:p>
    <w:p>
      <w:pPr>
        <w:pStyle w:val="44"/>
        <w:widowControl w:val="0"/>
        <w:spacing w:before="156" w:after="156"/>
      </w:pPr>
      <w:r>
        <w:rPr>
          <w:rFonts w:hint="eastAsia"/>
        </w:rPr>
        <w:t>控制系统的报警</w:t>
      </w:r>
    </w:p>
    <w:p>
      <w:pPr>
        <w:pStyle w:val="48"/>
        <w:spacing w:before="156" w:after="156"/>
      </w:pPr>
      <w:r>
        <w:rPr>
          <w:rFonts w:hint="eastAsia"/>
        </w:rPr>
        <w:t>报警分级</w:t>
      </w:r>
    </w:p>
    <w:p>
      <w:pPr>
        <w:pStyle w:val="115"/>
        <w:widowControl w:val="0"/>
        <w:numPr>
          <w:ilvl w:val="0"/>
          <w:numId w:val="0"/>
        </w:numPr>
        <w:ind w:firstLine="420" w:firstLineChars="200"/>
        <w:jc w:val="both"/>
      </w:pPr>
      <w:r>
        <w:rPr>
          <w:rFonts w:hint="eastAsia"/>
        </w:rPr>
        <w:t>报警系统应按照以下原则进行报警分级：</w:t>
      </w:r>
    </w:p>
    <w:p>
      <w:pPr>
        <w:pStyle w:val="50"/>
      </w:pPr>
      <w:r>
        <w:rPr>
          <w:rFonts w:hint="eastAsia"/>
        </w:rPr>
        <w:t>与安全、环境和经济相关的后果严重程度；</w:t>
      </w:r>
    </w:p>
    <w:p>
      <w:pPr>
        <w:pStyle w:val="50"/>
      </w:pPr>
      <w:r>
        <w:rPr>
          <w:rFonts w:hint="eastAsia"/>
        </w:rPr>
        <w:t>采取修正措施所需要的时间以及达到预期效果所需要的时间。通常的做法是把报警分为高、中、低三个等级。三个等级的报警数量比例通常为5%、10%、85%。</w:t>
      </w:r>
    </w:p>
    <w:p>
      <w:pPr>
        <w:pStyle w:val="50"/>
      </w:pPr>
      <w:r>
        <w:rPr>
          <w:rFonts w:hint="eastAsia"/>
        </w:rPr>
        <w:t>高级别报警是指需要操作人员按照预定的紧急响应程序做出立即响应的偏离。高级别报警包括关键安全系统的报警、火灾报警等。对高级别报警应考虑重复报警功能，当报警持续存在时，应能根据预设间隔时间触发循环报警以提醒操作人员注意。</w:t>
      </w:r>
    </w:p>
    <w:p>
      <w:pPr>
        <w:pStyle w:val="50"/>
      </w:pPr>
      <w:r>
        <w:rPr>
          <w:rFonts w:hint="eastAsia"/>
        </w:rPr>
        <w:t>中级别报警是指会导致工厂无法持续运行的偏离，该偏离需要纠正后才能维持工厂运行或者使工厂恢复到正常状态。中级别报警包括安全运行系统的报警等。</w:t>
      </w:r>
    </w:p>
    <w:p>
      <w:pPr>
        <w:pStyle w:val="50"/>
      </w:pPr>
      <w:r>
        <w:rPr>
          <w:rFonts w:hint="eastAsia"/>
        </w:rPr>
        <w:t>低级别报警是指需要引起操作人员注意，但并不能划入到高级别报警和中级别报警的报警。</w:t>
      </w:r>
    </w:p>
    <w:p>
      <w:pPr>
        <w:numPr>
          <w:ilvl w:val="2"/>
          <w:numId w:val="23"/>
        </w:numPr>
        <w:spacing w:before="156" w:beforeLines="50" w:after="156" w:afterLines="50"/>
        <w:jc w:val="left"/>
        <w:outlineLvl w:val="3"/>
        <w:rPr>
          <w:rFonts w:ascii="黑体" w:eastAsia="黑体"/>
          <w:kern w:val="0"/>
          <w:szCs w:val="21"/>
        </w:rPr>
      </w:pPr>
      <w:r>
        <w:rPr>
          <w:rFonts w:hint="eastAsia" w:ascii="黑体" w:eastAsia="黑体"/>
          <w:kern w:val="0"/>
          <w:szCs w:val="21"/>
        </w:rPr>
        <w:t>报警管理</w:t>
      </w:r>
    </w:p>
    <w:p>
      <w:pPr>
        <w:pStyle w:val="115"/>
        <w:widowControl w:val="0"/>
        <w:jc w:val="both"/>
      </w:pPr>
      <w:r>
        <w:rPr>
          <w:rFonts w:hint="eastAsia"/>
        </w:rPr>
        <w:t>空分装置的报警（包括联锁）应有完整的清单，清单应定期更新，与联锁相关的报警值的修改应通过变更程序执行。</w:t>
      </w:r>
    </w:p>
    <w:p>
      <w:pPr>
        <w:pStyle w:val="115"/>
        <w:widowControl w:val="0"/>
        <w:jc w:val="both"/>
      </w:pPr>
      <w:r>
        <w:rPr>
          <w:rFonts w:hint="eastAsia"/>
        </w:rPr>
        <w:t>宜对人机界面（HMI）上的报警值的修改和联锁旁路状态的更改设置确认操作或者权限限制，以防误操作。</w:t>
      </w:r>
    </w:p>
    <w:p>
      <w:pPr>
        <w:pStyle w:val="115"/>
        <w:widowControl w:val="0"/>
        <w:jc w:val="both"/>
      </w:pPr>
      <w:r>
        <w:rPr>
          <w:rFonts w:hint="eastAsia"/>
        </w:rPr>
        <w:t>宜对人机界面（H</w:t>
      </w:r>
      <w:r>
        <w:t>MI</w:t>
      </w:r>
      <w:r>
        <w:rPr>
          <w:rFonts w:hint="eastAsia"/>
        </w:rPr>
        <w:t>）上处于旁路的联锁回路设置旁路循环报警。</w:t>
      </w:r>
    </w:p>
    <w:p>
      <w:pPr>
        <w:pStyle w:val="115"/>
        <w:widowControl w:val="0"/>
        <w:jc w:val="both"/>
      </w:pPr>
      <w:r>
        <w:rPr>
          <w:rFonts w:hint="eastAsia"/>
        </w:rPr>
        <w:t>在报警系统设计时，应考虑操作人员对于报警的响应能力和效率，尽量减少无效报警，并优化长期处于报警状态的报警。</w:t>
      </w:r>
    </w:p>
    <w:p>
      <w:pPr>
        <w:pStyle w:val="115"/>
        <w:widowControl w:val="0"/>
        <w:jc w:val="both"/>
      </w:pPr>
      <w:r>
        <w:rPr>
          <w:rFonts w:hint="eastAsia"/>
        </w:rPr>
        <w:t>单个操作人员的最佳报警处理量为平均每小时6个报警，不宜超过12个。应根据装置设备状况对报警系统的安全有效性进行持续的跟踪和优化。</w:t>
      </w:r>
    </w:p>
    <w:p>
      <w:pPr>
        <w:pStyle w:val="44"/>
        <w:widowControl w:val="0"/>
        <w:spacing w:before="156" w:after="156"/>
      </w:pPr>
      <w:r>
        <w:rPr>
          <w:rFonts w:hint="eastAsia"/>
        </w:rPr>
        <w:t>空分装置的关键保护回路</w:t>
      </w:r>
    </w:p>
    <w:p>
      <w:pPr>
        <w:pStyle w:val="48"/>
        <w:widowControl w:val="0"/>
        <w:spacing w:before="156" w:after="156"/>
      </w:pPr>
      <w:r>
        <w:rPr>
          <w:rFonts w:hint="eastAsia"/>
        </w:rPr>
        <w:t>压缩机组喘振保护</w:t>
      </w:r>
    </w:p>
    <w:p>
      <w:pPr>
        <w:pStyle w:val="115"/>
        <w:widowControl w:val="0"/>
        <w:jc w:val="both"/>
      </w:pPr>
      <w:r>
        <w:rPr>
          <w:rFonts w:hint="eastAsia"/>
        </w:rPr>
        <w:t>所有的轴流式和离心式压缩机组都应配有喘振保护系统，用于检测压缩机组的喘振状态，并根据预定程序使压缩机组在接近喘振状态时远离喘振区域，当压缩机组发生喘振时，保护系统通过调整压缩机组的工作状态（例如打开压缩机组的放空阀、循环阀，甚至停机等）保护压缩机组。</w:t>
      </w:r>
    </w:p>
    <w:p>
      <w:pPr>
        <w:pStyle w:val="115"/>
        <w:widowControl w:val="0"/>
        <w:jc w:val="both"/>
      </w:pPr>
      <w:r>
        <w:rPr>
          <w:rFonts w:hint="eastAsia"/>
        </w:rPr>
        <w:t>用于压缩机组喘振保护的放空阀或循环阀应设计为故障开，其在故障状态下从正常运行状态到安全状态的响应时间应有明确要求。</w:t>
      </w:r>
    </w:p>
    <w:p>
      <w:pPr>
        <w:pStyle w:val="48"/>
        <w:widowControl w:val="0"/>
        <w:spacing w:before="156" w:after="156"/>
      </w:pPr>
      <w:r>
        <w:rPr>
          <w:rFonts w:hint="eastAsia"/>
        </w:rPr>
        <w:t>压缩机组逆流保护</w:t>
      </w:r>
    </w:p>
    <w:p>
      <w:pPr>
        <w:pStyle w:val="115"/>
        <w:widowControl w:val="0"/>
        <w:jc w:val="both"/>
      </w:pPr>
      <w:r>
        <w:rPr>
          <w:rFonts w:hint="eastAsia"/>
        </w:rPr>
        <w:t>逆流保护是在喘振保护的基础上对压缩机组的进一步保护。在逆流保护投入，压缩机组的进口流量低于某一特定数值（例如压缩机组在正常速度和最小导叶开度下流量的50%）时，逆流保护系统判定压缩机组发生了逆流。在设定的时间间隔内，逆流保护系统根据检测到的逆流发生的次数触发逆流报警、打开压缩机组放空阀或循环阀，甚至停止压缩机组等动作，从而避免逆流的发生或降低逆流发生对压缩机组造成的损害。</w:t>
      </w:r>
    </w:p>
    <w:p>
      <w:pPr>
        <w:pStyle w:val="115"/>
        <w:widowControl w:val="0"/>
        <w:jc w:val="both"/>
      </w:pPr>
      <w:r>
        <w:rPr>
          <w:rFonts w:hint="eastAsia"/>
        </w:rPr>
        <w:t>压缩机组的逆流保护宜根据压缩机厂家的要求进行设置。</w:t>
      </w:r>
    </w:p>
    <w:p>
      <w:pPr>
        <w:pStyle w:val="48"/>
        <w:widowControl w:val="0"/>
        <w:spacing w:before="156" w:after="156"/>
      </w:pPr>
      <w:r>
        <w:rPr>
          <w:rFonts w:hint="eastAsia"/>
        </w:rPr>
        <w:t>压缩机组机械保护</w:t>
      </w:r>
    </w:p>
    <w:p>
      <w:pPr>
        <w:pStyle w:val="115"/>
        <w:widowControl w:val="0"/>
        <w:jc w:val="both"/>
      </w:pPr>
      <w:r>
        <w:rPr>
          <w:rFonts w:hint="eastAsia"/>
        </w:rPr>
        <w:t>轴流式和离心式压缩机组应安装感应式振动探头和检测器，对轴运动进行检测，并启动警告和停机程序。</w:t>
      </w:r>
    </w:p>
    <w:p>
      <w:pPr>
        <w:pStyle w:val="115"/>
        <w:widowControl w:val="0"/>
        <w:jc w:val="both"/>
      </w:pPr>
      <w:r>
        <w:rPr>
          <w:rFonts w:hint="eastAsia"/>
        </w:rPr>
        <w:t>往复式压缩机应安装振动开关。对于大型机组，宜每两个曲拐至少安装一个振动开关。</w:t>
      </w:r>
    </w:p>
    <w:p>
      <w:pPr>
        <w:pStyle w:val="115"/>
        <w:widowControl w:val="0"/>
        <w:jc w:val="both"/>
      </w:pPr>
      <w:r>
        <w:rPr>
          <w:rFonts w:hint="eastAsia"/>
        </w:rPr>
        <w:t>机械保护可采用单独的系统，也可根据实际需要采用符合功能和安全要求的保护系统。</w:t>
      </w:r>
    </w:p>
    <w:p>
      <w:pPr>
        <w:pStyle w:val="48"/>
        <w:widowControl w:val="0"/>
        <w:spacing w:before="156" w:after="156"/>
      </w:pPr>
      <w:r>
        <w:rPr>
          <w:rFonts w:hint="eastAsia"/>
        </w:rPr>
        <w:t>压缩机组超速保护</w:t>
      </w:r>
    </w:p>
    <w:p>
      <w:pPr>
        <w:pStyle w:val="115"/>
        <w:widowControl w:val="0"/>
        <w:jc w:val="both"/>
      </w:pPr>
      <w:r>
        <w:rPr>
          <w:rFonts w:hint="eastAsia"/>
        </w:rPr>
        <w:t>空分装置中的膨胀机、蒸汽透平应设置超速保护系统。超速保护系统应设置独立于基本过程控制系统的保护层。</w:t>
      </w:r>
    </w:p>
    <w:p>
      <w:pPr>
        <w:pStyle w:val="115"/>
        <w:widowControl w:val="0"/>
      </w:pPr>
      <w:r>
        <w:rPr>
          <w:rFonts w:hint="eastAsia"/>
        </w:rPr>
        <w:t>当膨胀机用于发电时，其保护要求应比用于驱动压缩机时更为严格，并配有用于检测电网脱离的仪表。用于发电的膨胀机应配备更多的速度探头。</w:t>
      </w:r>
    </w:p>
    <w:p>
      <w:pPr>
        <w:pStyle w:val="115"/>
        <w:widowControl w:val="0"/>
        <w:jc w:val="both"/>
      </w:pPr>
      <w:r>
        <w:rPr>
          <w:rFonts w:hint="eastAsia"/>
        </w:rPr>
        <w:t>蒸汽透平的速关阀是透平超速保护的重要执行单元，应具有小行程测试功能。</w:t>
      </w:r>
    </w:p>
    <w:p>
      <w:pPr>
        <w:pStyle w:val="48"/>
        <w:widowControl w:val="0"/>
        <w:spacing w:before="156" w:after="156"/>
      </w:pPr>
      <w:r>
        <w:rPr>
          <w:rFonts w:hint="eastAsia"/>
        </w:rPr>
        <w:t>蒸汽透平末级保护</w:t>
      </w:r>
    </w:p>
    <w:p>
      <w:pPr>
        <w:pStyle w:val="115"/>
        <w:widowControl w:val="0"/>
        <w:jc w:val="both"/>
      </w:pPr>
      <w:r>
        <w:rPr>
          <w:rFonts w:hint="eastAsia"/>
        </w:rPr>
        <w:t>对于全凝式蒸汽透平机组，透平乏汽的压力不但影响到透平的工作效率，而且还可能影响透平的末级叶片的机械安全。</w:t>
      </w:r>
    </w:p>
    <w:p>
      <w:pPr>
        <w:pStyle w:val="115"/>
        <w:widowControl w:val="0"/>
        <w:jc w:val="both"/>
      </w:pPr>
      <w:r>
        <w:rPr>
          <w:rFonts w:hint="eastAsia"/>
        </w:rPr>
        <w:t>当透平的乏汽压力和腔室压力运行在非正常区域时，末级保护系统应能发出报警，并自动触发透平停车。</w:t>
      </w:r>
    </w:p>
    <w:p>
      <w:pPr>
        <w:pStyle w:val="115"/>
        <w:widowControl w:val="0"/>
        <w:jc w:val="both"/>
      </w:pPr>
      <w:r>
        <w:rPr>
          <w:rFonts w:hint="eastAsia"/>
        </w:rPr>
        <w:t>蒸汽透平的末级保护宜按照蒸汽透平厂商的要求设置。</w:t>
      </w:r>
    </w:p>
    <w:p>
      <w:pPr>
        <w:pStyle w:val="48"/>
        <w:widowControl w:val="0"/>
        <w:spacing w:before="156" w:after="156"/>
      </w:pPr>
      <w:r>
        <w:rPr>
          <w:rFonts w:hint="eastAsia"/>
        </w:rPr>
        <w:t>低温液体平底储罐溢流保护</w:t>
      </w:r>
    </w:p>
    <w:p>
      <w:pPr>
        <w:pStyle w:val="115"/>
        <w:widowControl w:val="0"/>
        <w:jc w:val="both"/>
      </w:pPr>
      <w:r>
        <w:rPr>
          <w:rFonts w:hint="eastAsia"/>
        </w:rPr>
        <w:t>在空分装置中，低温液体平底储罐（特别是液氧平底储罐）的溢流可能会造成重大的工艺安全事故。</w:t>
      </w:r>
    </w:p>
    <w:p>
      <w:pPr>
        <w:pStyle w:val="115"/>
        <w:widowControl w:val="0"/>
        <w:jc w:val="both"/>
      </w:pPr>
      <w:r>
        <w:rPr>
          <w:rFonts w:hint="eastAsia"/>
        </w:rPr>
        <w:t>液氧平底储罐应设计符合要求的安全仪表系统。</w:t>
      </w:r>
    </w:p>
    <w:p>
      <w:pPr>
        <w:pStyle w:val="44"/>
        <w:widowControl w:val="0"/>
        <w:spacing w:before="156" w:after="156"/>
      </w:pPr>
      <w:r>
        <w:rPr>
          <w:rFonts w:hint="eastAsia"/>
        </w:rPr>
        <w:t>空分装置控制系统的其它考虑因素</w:t>
      </w:r>
    </w:p>
    <w:p>
      <w:pPr>
        <w:pStyle w:val="65"/>
        <w:widowControl w:val="0"/>
        <w:jc w:val="both"/>
      </w:pPr>
      <w:r>
        <w:rPr>
          <w:rFonts w:hint="eastAsia"/>
        </w:rPr>
        <w:t>空分装置中的控制和仪表（包括分析仪）的设计应符合GB 50030、GB 16912、JB/T 8693等相关规范的规定。</w:t>
      </w:r>
    </w:p>
    <w:p>
      <w:pPr>
        <w:pStyle w:val="65"/>
        <w:widowControl w:val="0"/>
        <w:jc w:val="both"/>
      </w:pPr>
      <w:r>
        <w:rPr>
          <w:rFonts w:hint="eastAsia"/>
        </w:rPr>
        <w:t>在关键部件失效时，故障安全系统应能以预定的方式将系统停机和隔离。可通过以下系统设计或改进措施提供故障安全：</w:t>
      </w:r>
    </w:p>
    <w:p>
      <w:pPr>
        <w:pStyle w:val="50"/>
      </w:pPr>
      <w:r>
        <w:rPr>
          <w:rFonts w:hint="eastAsia"/>
        </w:rPr>
        <w:t>设置设备及回路看门狗；</w:t>
      </w:r>
    </w:p>
    <w:p>
      <w:pPr>
        <w:pStyle w:val="50"/>
      </w:pPr>
      <w:r>
        <w:rPr>
          <w:rFonts w:hint="eastAsia"/>
        </w:rPr>
        <w:t>根据需要选择执行器的故障模式（故障打开/故障关闭）；</w:t>
      </w:r>
    </w:p>
    <w:p>
      <w:pPr>
        <w:pStyle w:val="50"/>
      </w:pPr>
      <w:r>
        <w:rPr>
          <w:rFonts w:hint="eastAsia"/>
        </w:rPr>
        <w:t>内部/外部诊断；</w:t>
      </w:r>
    </w:p>
    <w:p>
      <w:pPr>
        <w:pStyle w:val="50"/>
      </w:pPr>
      <w:r>
        <w:rPr>
          <w:rFonts w:hint="eastAsia"/>
        </w:rPr>
        <w:t>采用通电运行/断电跳车等信号转换。</w:t>
      </w:r>
    </w:p>
    <w:p>
      <w:pPr>
        <w:pStyle w:val="48"/>
        <w:widowControl w:val="0"/>
        <w:spacing w:before="156" w:after="156"/>
      </w:pPr>
      <w:r>
        <w:rPr>
          <w:rFonts w:hint="eastAsia"/>
        </w:rPr>
        <w:t>空分装置的仪表（包括分析仪）</w:t>
      </w:r>
    </w:p>
    <w:p>
      <w:pPr>
        <w:pStyle w:val="53"/>
        <w:widowControl w:val="0"/>
        <w:spacing w:before="156" w:beforeLines="0" w:after="156" w:afterLines="0"/>
        <w:jc w:val="both"/>
        <w:rPr>
          <w:rFonts w:ascii="宋体" w:hAnsi="宋体" w:eastAsia="宋体"/>
        </w:rPr>
      </w:pPr>
      <w:r>
        <w:rPr>
          <w:rFonts w:hint="eastAsia" w:ascii="宋体" w:eastAsia="宋体"/>
        </w:rPr>
        <w:t>空分装置应根据气体生产、存储、输送的需</w:t>
      </w:r>
      <w:r>
        <w:rPr>
          <w:rFonts w:hint="eastAsia" w:ascii="宋体" w:hAnsi="宋体" w:eastAsia="宋体"/>
        </w:rPr>
        <w:t>要设置下列分析仪表：</w:t>
      </w:r>
    </w:p>
    <w:p>
      <w:pPr>
        <w:pStyle w:val="50"/>
      </w:pPr>
      <w:r>
        <w:rPr>
          <w:rFonts w:hint="eastAsia"/>
        </w:rPr>
        <w:t>空气纯化装置出口二氧化碳含量连续在线分析；</w:t>
      </w:r>
    </w:p>
    <w:p>
      <w:pPr>
        <w:pStyle w:val="50"/>
      </w:pPr>
      <w:r>
        <w:rPr>
          <w:rFonts w:hint="eastAsia"/>
        </w:rPr>
        <w:t>主冷凝蒸发器液氧中乙炔、碳氢化合物含量连续在线分析仪；</w:t>
      </w:r>
    </w:p>
    <w:p>
      <w:pPr>
        <w:pStyle w:val="50"/>
      </w:pPr>
      <w:r>
        <w:rPr>
          <w:rFonts w:hint="eastAsia"/>
        </w:rPr>
        <w:t>产品纯度分析；</w:t>
      </w:r>
    </w:p>
    <w:p>
      <w:pPr>
        <w:pStyle w:val="50"/>
      </w:pPr>
      <w:r>
        <w:rPr>
          <w:rFonts w:hint="eastAsia"/>
        </w:rPr>
        <w:t>高纯产品中杂质含量分析；</w:t>
      </w:r>
    </w:p>
    <w:p>
      <w:pPr>
        <w:pStyle w:val="50"/>
      </w:pPr>
      <w:r>
        <w:rPr>
          <w:rFonts w:hint="eastAsia"/>
        </w:rPr>
        <w:t>制氧间、氧气压缩机间、氧气储罐间等的空气中氧含量定期检测；</w:t>
      </w:r>
    </w:p>
    <w:p>
      <w:pPr>
        <w:pStyle w:val="50"/>
      </w:pPr>
      <w:r>
        <w:rPr>
          <w:rFonts w:hint="eastAsia"/>
        </w:rPr>
        <w:t>制氮间、氮气压缩机间、氮气储罐间等的空气中氧含量定期检测。</w:t>
      </w:r>
    </w:p>
    <w:p>
      <w:pPr>
        <w:pStyle w:val="53"/>
        <w:widowControl w:val="0"/>
        <w:spacing w:before="156" w:beforeLines="0" w:after="156" w:afterLines="0"/>
        <w:jc w:val="both"/>
        <w:rPr>
          <w:rFonts w:ascii="宋体" w:hAnsi="宋体" w:eastAsia="宋体"/>
        </w:rPr>
      </w:pPr>
      <w:r>
        <w:rPr>
          <w:rFonts w:hint="eastAsia" w:ascii="宋体" w:eastAsia="宋体"/>
        </w:rPr>
        <w:t>除各类设备配备的各</w:t>
      </w:r>
      <w:r>
        <w:rPr>
          <w:rFonts w:hint="eastAsia" w:ascii="宋体" w:hAnsi="宋体" w:eastAsia="宋体"/>
        </w:rPr>
        <w:t>种测量和控制装置外，还应装设下列参数测量和控制装置：</w:t>
      </w:r>
    </w:p>
    <w:p>
      <w:pPr>
        <w:numPr>
          <w:ilvl w:val="0"/>
          <w:numId w:val="20"/>
        </w:numPr>
        <w:tabs>
          <w:tab w:val="left" w:pos="720"/>
        </w:tabs>
        <w:rPr>
          <w:rFonts w:ascii="宋体"/>
          <w:kern w:val="0"/>
          <w:szCs w:val="20"/>
        </w:rPr>
      </w:pPr>
      <w:r>
        <w:rPr>
          <w:rFonts w:hint="eastAsia" w:ascii="宋体"/>
          <w:kern w:val="0"/>
          <w:szCs w:val="20"/>
        </w:rPr>
        <w:t>站房出口各种空气分离产品的压力测试和调节；</w:t>
      </w:r>
    </w:p>
    <w:p>
      <w:pPr>
        <w:numPr>
          <w:ilvl w:val="0"/>
          <w:numId w:val="20"/>
        </w:numPr>
        <w:tabs>
          <w:tab w:val="left" w:pos="720"/>
        </w:tabs>
        <w:rPr>
          <w:rFonts w:ascii="宋体"/>
          <w:kern w:val="0"/>
          <w:szCs w:val="20"/>
        </w:rPr>
      </w:pPr>
      <w:r>
        <w:rPr>
          <w:rFonts w:hint="eastAsia" w:ascii="宋体"/>
          <w:kern w:val="0"/>
          <w:szCs w:val="20"/>
        </w:rPr>
        <w:t>输送用气体压缩机的进气、排气压力测量和流量调节装置；</w:t>
      </w:r>
    </w:p>
    <w:p>
      <w:pPr>
        <w:numPr>
          <w:ilvl w:val="0"/>
          <w:numId w:val="20"/>
        </w:numPr>
        <w:tabs>
          <w:tab w:val="left" w:pos="720"/>
        </w:tabs>
        <w:rPr>
          <w:rFonts w:ascii="宋体"/>
          <w:kern w:val="0"/>
          <w:szCs w:val="20"/>
        </w:rPr>
      </w:pPr>
      <w:r>
        <w:rPr>
          <w:rFonts w:hint="eastAsia" w:ascii="宋体"/>
          <w:kern w:val="0"/>
          <w:szCs w:val="20"/>
        </w:rPr>
        <w:t>气体储罐压力远传、记录；</w:t>
      </w:r>
    </w:p>
    <w:p>
      <w:pPr>
        <w:numPr>
          <w:ilvl w:val="0"/>
          <w:numId w:val="20"/>
        </w:numPr>
        <w:tabs>
          <w:tab w:val="left" w:pos="720"/>
        </w:tabs>
        <w:rPr>
          <w:rFonts w:ascii="宋体"/>
          <w:kern w:val="0"/>
          <w:szCs w:val="20"/>
        </w:rPr>
      </w:pPr>
      <w:r>
        <w:rPr>
          <w:rFonts w:hint="eastAsia" w:ascii="宋体"/>
          <w:kern w:val="0"/>
          <w:szCs w:val="20"/>
        </w:rPr>
        <w:t>气体设备出口压力、温度远传、记录；</w:t>
      </w:r>
    </w:p>
    <w:p>
      <w:pPr>
        <w:numPr>
          <w:ilvl w:val="0"/>
          <w:numId w:val="20"/>
        </w:numPr>
        <w:tabs>
          <w:tab w:val="left" w:pos="720"/>
        </w:tabs>
        <w:rPr>
          <w:rFonts w:ascii="宋体"/>
          <w:kern w:val="0"/>
          <w:szCs w:val="20"/>
        </w:rPr>
      </w:pPr>
      <w:r>
        <w:rPr>
          <w:rFonts w:hint="eastAsia" w:ascii="宋体"/>
          <w:kern w:val="0"/>
          <w:szCs w:val="20"/>
        </w:rPr>
        <w:t>各单体设备运行状态显示、记录。</w:t>
      </w:r>
    </w:p>
    <w:p>
      <w:pPr>
        <w:pStyle w:val="53"/>
        <w:widowControl w:val="0"/>
        <w:spacing w:before="156" w:beforeLines="0" w:after="156" w:afterLines="0"/>
        <w:rPr>
          <w:rFonts w:ascii="宋体" w:hAnsi="宋体" w:eastAsia="宋体"/>
        </w:rPr>
      </w:pPr>
      <w:r>
        <w:rPr>
          <w:rFonts w:hint="eastAsia" w:ascii="宋体" w:hAnsi="宋体" w:eastAsia="宋体"/>
        </w:rPr>
        <w:t>宜</w:t>
      </w:r>
      <w:r>
        <w:rPr>
          <w:rFonts w:hint="eastAsia" w:ascii="宋体" w:eastAsia="宋体"/>
        </w:rPr>
        <w:t>设置下列报警联锁</w:t>
      </w:r>
      <w:r>
        <w:rPr>
          <w:rFonts w:hint="eastAsia" w:ascii="宋体" w:hAnsi="宋体" w:eastAsia="宋体"/>
        </w:rPr>
        <w:t>控制装置：</w:t>
      </w:r>
    </w:p>
    <w:p>
      <w:pPr>
        <w:pStyle w:val="50"/>
      </w:pPr>
      <w:r>
        <w:rPr>
          <w:rFonts w:hint="eastAsia"/>
        </w:rPr>
        <w:t>空气纯化装置出口二氧化碳超标报警；</w:t>
      </w:r>
    </w:p>
    <w:p>
      <w:pPr>
        <w:pStyle w:val="50"/>
      </w:pPr>
      <w:r>
        <w:rPr>
          <w:rFonts w:hint="eastAsia"/>
        </w:rPr>
        <w:t>空分装置主冷凝蒸发器液氧中乙炔、碳氢化合物超标报警；</w:t>
      </w:r>
    </w:p>
    <w:p>
      <w:pPr>
        <w:pStyle w:val="50"/>
      </w:pPr>
      <w:r>
        <w:rPr>
          <w:rFonts w:hint="eastAsia"/>
        </w:rPr>
        <w:t>空分装置出口产品纯度不合格报警；</w:t>
      </w:r>
    </w:p>
    <w:p>
      <w:pPr>
        <w:pStyle w:val="50"/>
      </w:pPr>
      <w:r>
        <w:rPr>
          <w:rFonts w:hint="eastAsia"/>
        </w:rPr>
        <w:t>压缩机润滑油系统，设置油压过高、过低与油温过高的报警和联锁控制。</w:t>
      </w:r>
    </w:p>
    <w:p>
      <w:pPr>
        <w:pStyle w:val="48"/>
        <w:widowControl w:val="0"/>
        <w:spacing w:before="156" w:after="156"/>
      </w:pPr>
      <w:r>
        <w:rPr>
          <w:rFonts w:hint="eastAsia"/>
        </w:rPr>
        <w:t>压缩机组相关的仪表</w:t>
      </w:r>
    </w:p>
    <w:p>
      <w:pPr>
        <w:pStyle w:val="53"/>
        <w:widowControl w:val="0"/>
        <w:spacing w:before="156" w:beforeLines="0" w:after="156" w:afterLines="0"/>
        <w:rPr>
          <w:rFonts w:asciiTheme="minorEastAsia" w:hAnsiTheme="minorEastAsia" w:eastAsiaTheme="minorEastAsia"/>
        </w:rPr>
      </w:pPr>
      <w:r>
        <w:rPr>
          <w:rFonts w:hint="eastAsia" w:ascii="宋体" w:eastAsia="宋体"/>
        </w:rPr>
        <w:t>对于大型压缩</w:t>
      </w:r>
      <w:r>
        <w:rPr>
          <w:rFonts w:hint="eastAsia" w:asciiTheme="minorEastAsia" w:hAnsiTheme="minorEastAsia" w:eastAsiaTheme="minorEastAsia"/>
        </w:rPr>
        <w:t>机组，宜在润滑油压系统中安装双润滑油油压传感器，用于启动辅助油泵、停止压缩机组、压缩机启动许可。</w:t>
      </w:r>
    </w:p>
    <w:p>
      <w:pPr>
        <w:pStyle w:val="53"/>
        <w:widowControl w:val="0"/>
        <w:spacing w:before="156" w:beforeLines="0" w:after="156" w:afterLines="0"/>
        <w:rPr>
          <w:rFonts w:ascii="宋体" w:hAnsi="宋体" w:eastAsia="宋体"/>
        </w:rPr>
      </w:pPr>
      <w:r>
        <w:rPr>
          <w:rFonts w:hint="eastAsia" w:ascii="宋体" w:eastAsia="宋体"/>
        </w:rPr>
        <w:t>对于大型压缩机组，应配备</w:t>
      </w:r>
      <w:r>
        <w:rPr>
          <w:rFonts w:hint="eastAsia" w:ascii="宋体" w:hAnsi="宋体" w:eastAsia="宋体"/>
        </w:rPr>
        <w:t>相关仪表检测以下指标：</w:t>
      </w:r>
    </w:p>
    <w:p>
      <w:pPr>
        <w:pStyle w:val="50"/>
      </w:pPr>
      <w:r>
        <w:rPr>
          <w:rFonts w:hint="eastAsia"/>
        </w:rPr>
        <w:t>低油压（警报和停机）；</w:t>
      </w:r>
    </w:p>
    <w:p>
      <w:pPr>
        <w:pStyle w:val="50"/>
      </w:pPr>
      <w:r>
        <w:rPr>
          <w:rFonts w:hint="eastAsia"/>
        </w:rPr>
        <w:t>高油温（警报）；</w:t>
      </w:r>
    </w:p>
    <w:p>
      <w:pPr>
        <w:pStyle w:val="50"/>
      </w:pPr>
      <w:r>
        <w:rPr>
          <w:rFonts w:hint="eastAsia"/>
        </w:rPr>
        <w:t>润滑油油池低油位（警报和润滑油加热器停机）；</w:t>
      </w:r>
    </w:p>
    <w:p>
      <w:pPr>
        <w:pStyle w:val="50"/>
      </w:pPr>
      <w:r>
        <w:rPr>
          <w:rFonts w:hint="eastAsia"/>
        </w:rPr>
        <w:t>油过滤器高压差（警报）；</w:t>
      </w:r>
    </w:p>
    <w:p>
      <w:pPr>
        <w:pStyle w:val="50"/>
      </w:pPr>
      <w:r>
        <w:rPr>
          <w:rFonts w:hint="eastAsia"/>
        </w:rPr>
        <w:t>低油温（压缩机组启动许可）；</w:t>
      </w:r>
    </w:p>
    <w:p>
      <w:pPr>
        <w:pStyle w:val="50"/>
      </w:pPr>
      <w:r>
        <w:rPr>
          <w:rFonts w:hint="eastAsia"/>
        </w:rPr>
        <w:t>备用泵状态（警报）。</w:t>
      </w:r>
    </w:p>
    <w:p>
      <w:pPr>
        <w:pStyle w:val="48"/>
        <w:widowControl w:val="0"/>
        <w:spacing w:before="156" w:after="156"/>
      </w:pPr>
      <w:r>
        <w:rPr>
          <w:rFonts w:hint="eastAsia"/>
        </w:rPr>
        <w:t>控制系统相关的电气</w:t>
      </w:r>
    </w:p>
    <w:p>
      <w:pPr>
        <w:pStyle w:val="115"/>
        <w:widowControl w:val="0"/>
        <w:jc w:val="both"/>
      </w:pPr>
      <w:r>
        <w:rPr>
          <w:rFonts w:hint="eastAsia"/>
        </w:rPr>
        <w:t>空分装置的电控设备应符合GB/T 3797要求。</w:t>
      </w:r>
    </w:p>
    <w:p>
      <w:pPr>
        <w:pStyle w:val="115"/>
        <w:widowControl w:val="0"/>
        <w:jc w:val="both"/>
      </w:pPr>
      <w:r>
        <w:rPr>
          <w:rFonts w:hint="eastAsia"/>
        </w:rPr>
        <w:t>空分装置低压配电柜应选用符合GB</w:t>
      </w:r>
      <w:r>
        <w:t>/T</w:t>
      </w:r>
      <w:r>
        <w:rPr>
          <w:rFonts w:hint="eastAsia"/>
        </w:rPr>
        <w:t xml:space="preserve"> 7251.12规定的标准功能单元隔离设计的低压配电柜，应有带电锁门设计。</w:t>
      </w:r>
    </w:p>
    <w:p>
      <w:pPr>
        <w:pStyle w:val="115"/>
        <w:widowControl w:val="0"/>
        <w:jc w:val="both"/>
      </w:pPr>
      <w:r>
        <w:rPr>
          <w:rFonts w:hint="eastAsia"/>
        </w:rPr>
        <w:t>空分装置电源进线总开关的继电保护装置应安装在空分装置变电所内。</w:t>
      </w:r>
    </w:p>
    <w:p>
      <w:pPr>
        <w:pStyle w:val="115"/>
        <w:widowControl w:val="0"/>
        <w:jc w:val="both"/>
      </w:pPr>
      <w:r>
        <w:rPr>
          <w:rFonts w:hint="eastAsia"/>
        </w:rPr>
        <w:t>空分装置电气设备的急停回路应为常闭接点的硬接线回路，回路不应有软节点接入，重要急停回路应选用安全继电器。</w:t>
      </w:r>
    </w:p>
    <w:p>
      <w:pPr>
        <w:pStyle w:val="115"/>
        <w:widowControl w:val="0"/>
        <w:jc w:val="both"/>
      </w:pPr>
      <w:r>
        <w:rPr>
          <w:rFonts w:hint="eastAsia"/>
        </w:rPr>
        <w:t>空分装置电源进线总开关的手动分闸装置应安装在操作人员无障碍接触位置，在任何时间、任何操作模式下均可操作。</w:t>
      </w:r>
    </w:p>
    <w:p>
      <w:pPr>
        <w:pStyle w:val="115"/>
        <w:widowControl w:val="0"/>
        <w:jc w:val="both"/>
      </w:pPr>
      <w:r>
        <w:rPr>
          <w:rFonts w:hint="eastAsia"/>
        </w:rPr>
        <w:t>空分装置控制室的电气设备停车信号应为常闭接点，重要回路应采用双回路常闭接点。</w:t>
      </w:r>
    </w:p>
    <w:p>
      <w:pPr>
        <w:pStyle w:val="115"/>
        <w:widowControl w:val="0"/>
        <w:jc w:val="both"/>
      </w:pPr>
      <w:r>
        <w:rPr>
          <w:rFonts w:hint="eastAsia"/>
        </w:rPr>
        <w:t>空分装置电气设备的继电保护动作后，应有锁定继电器封锁跳闸出口节点。</w:t>
      </w:r>
    </w:p>
    <w:p>
      <w:pPr>
        <w:pStyle w:val="115"/>
        <w:widowControl w:val="0"/>
        <w:jc w:val="both"/>
      </w:pPr>
      <w:r>
        <w:rPr>
          <w:rFonts w:hint="eastAsia"/>
        </w:rPr>
        <w:t>空分装置电气设备送控制室特别重要的信号应用一对互补的信号来传输。</w:t>
      </w:r>
    </w:p>
    <w:p>
      <w:pPr>
        <w:pStyle w:val="115"/>
        <w:widowControl w:val="0"/>
        <w:jc w:val="both"/>
      </w:pPr>
      <w:r>
        <w:rPr>
          <w:rFonts w:hint="eastAsia"/>
        </w:rPr>
        <w:t>空分装置重要电气驱动设备应安装抗晃电装置或具有重启功能。</w:t>
      </w:r>
    </w:p>
    <w:p>
      <w:pPr>
        <w:pStyle w:val="115"/>
        <w:widowControl w:val="0"/>
        <w:jc w:val="both"/>
      </w:pPr>
      <w:r>
        <w:rPr>
          <w:rFonts w:hint="eastAsia"/>
        </w:rPr>
        <w:t>空分装置的电气设备应有防电弧危害的警示标签，变电所应配置防电弧保护装置。</w:t>
      </w:r>
    </w:p>
    <w:p>
      <w:pPr>
        <w:pStyle w:val="115"/>
        <w:widowControl w:val="0"/>
        <w:jc w:val="both"/>
      </w:pPr>
      <w:r>
        <w:rPr>
          <w:rFonts w:hint="eastAsia"/>
        </w:rPr>
        <w:t>空分装置含380V低压总进线开关以上的电气设备不宜采用设备本体合闸方式完成设备送电或启动。</w:t>
      </w:r>
    </w:p>
    <w:p>
      <w:pPr>
        <w:pStyle w:val="115"/>
        <w:widowControl w:val="0"/>
        <w:jc w:val="both"/>
      </w:pPr>
      <w:r>
        <w:rPr>
          <w:rFonts w:hint="eastAsia"/>
        </w:rPr>
        <w:t>空分装置采用直流控制电源的电气设备可根据工艺安全控制需要安装直流失压保护。</w:t>
      </w:r>
    </w:p>
    <w:p>
      <w:pPr>
        <w:pStyle w:val="115"/>
        <w:widowControl w:val="0"/>
        <w:jc w:val="both"/>
      </w:pPr>
      <w:r>
        <w:rPr>
          <w:rFonts w:hint="eastAsia"/>
        </w:rPr>
        <w:t>空分装置高压电机的重复启动次数应严格按照设备厂家的指导说明进行。</w:t>
      </w:r>
    </w:p>
    <w:p>
      <w:pPr>
        <w:pStyle w:val="115"/>
        <w:widowControl w:val="0"/>
        <w:jc w:val="both"/>
      </w:pPr>
      <w:r>
        <w:rPr>
          <w:rFonts w:hint="eastAsia"/>
        </w:rPr>
        <w:t>空分装置高压电机应选用绝缘轴承，防止轴电流产生。</w:t>
      </w:r>
    </w:p>
    <w:p>
      <w:pPr>
        <w:pStyle w:val="115"/>
        <w:widowControl w:val="0"/>
        <w:jc w:val="both"/>
      </w:pPr>
      <w:r>
        <w:rPr>
          <w:rFonts w:hint="eastAsia"/>
        </w:rPr>
        <w:t>空分装置高压电机的断路器宜选用双脱扣器设计，满足可靠分闸要求。</w:t>
      </w:r>
    </w:p>
    <w:p>
      <w:pPr>
        <w:pStyle w:val="115"/>
        <w:widowControl w:val="0"/>
        <w:jc w:val="both"/>
      </w:pPr>
      <w:r>
        <w:rPr>
          <w:rFonts w:hint="eastAsia"/>
        </w:rPr>
        <w:t>空分装置的检修电源箱应配置30mA漏电保护器。</w:t>
      </w:r>
    </w:p>
    <w:p>
      <w:pPr>
        <w:pStyle w:val="115"/>
        <w:widowControl w:val="0"/>
        <w:jc w:val="both"/>
      </w:pPr>
      <w:r>
        <w:rPr>
          <w:rFonts w:hint="eastAsia"/>
        </w:rPr>
        <w:t>空分装置不间断电源、直流电源、柴油发电机、后备电源及电源切换装置的报警信号应送至控制室监控。</w:t>
      </w:r>
    </w:p>
    <w:p>
      <w:pPr>
        <w:pStyle w:val="115"/>
        <w:widowControl w:val="0"/>
        <w:jc w:val="both"/>
      </w:pPr>
      <w:r>
        <w:rPr>
          <w:rFonts w:hint="eastAsia"/>
        </w:rPr>
        <w:t>空分装置的控制系统宜采用双路电源供电，并使用不少于一路的不间断电源。</w:t>
      </w:r>
    </w:p>
    <w:p>
      <w:pPr>
        <w:pStyle w:val="48"/>
        <w:widowControl w:val="0"/>
        <w:spacing w:before="156" w:after="156"/>
      </w:pPr>
      <w:r>
        <w:rPr>
          <w:rFonts w:hint="eastAsia"/>
        </w:rPr>
        <w:t>无人值班或部分有人值班运行的空分装置</w:t>
      </w:r>
    </w:p>
    <w:p>
      <w:pPr>
        <w:pStyle w:val="115"/>
        <w:widowControl w:val="0"/>
        <w:jc w:val="both"/>
      </w:pPr>
      <w:r>
        <w:rPr>
          <w:rFonts w:hint="eastAsia"/>
        </w:rPr>
        <w:t>无人值班或部分有人值班装置的控制系统的设计应确保在发生意外工艺扰动或停机时，无需任何手动干预即可安全地将空分装置的工艺和设备停机。</w:t>
      </w:r>
    </w:p>
    <w:p>
      <w:pPr>
        <w:pStyle w:val="115"/>
        <w:widowControl w:val="0"/>
        <w:jc w:val="both"/>
      </w:pPr>
      <w:r>
        <w:rPr>
          <w:rFonts w:hint="eastAsia"/>
        </w:rPr>
        <w:t>无人值班装置应有防止操作人员受伤的措施，同时应有防止设备自动重新开机的措施。</w:t>
      </w:r>
    </w:p>
    <w:p>
      <w:pPr>
        <w:pStyle w:val="115"/>
        <w:widowControl w:val="0"/>
        <w:jc w:val="both"/>
      </w:pPr>
      <w:r>
        <w:rPr>
          <w:rFonts w:hint="eastAsia"/>
        </w:rPr>
        <w:t>宜对其它工艺和设备条件进行监测，并对选定的工艺变量和设备状态或条件进行远程监控。</w:t>
      </w:r>
    </w:p>
    <w:p>
      <w:pPr>
        <w:pStyle w:val="115"/>
        <w:widowControl w:val="0"/>
        <w:jc w:val="both"/>
      </w:pPr>
      <w:r>
        <w:rPr>
          <w:rFonts w:hint="eastAsia"/>
        </w:rPr>
        <w:t>应设置紧急通知系统，紧急通知系统应能将异常事件（例如空分装置停机）通知现场以外的工作人员。如果仅有一人位于空分装置现场，应设置通知系统，通知系统应能将紧急情况（例如人员伤亡）通知相关工作人员。</w:t>
      </w:r>
    </w:p>
    <w:p>
      <w:pPr>
        <w:numPr>
          <w:ilvl w:val="2"/>
          <w:numId w:val="23"/>
        </w:numPr>
        <w:spacing w:before="156" w:beforeLines="50" w:after="156" w:afterLines="50"/>
        <w:jc w:val="left"/>
        <w:outlineLvl w:val="3"/>
        <w:rPr>
          <w:rFonts w:ascii="黑体" w:eastAsia="黑体"/>
          <w:kern w:val="0"/>
          <w:szCs w:val="21"/>
        </w:rPr>
      </w:pPr>
      <w:r>
        <w:rPr>
          <w:rFonts w:hint="eastAsia" w:ascii="黑体" w:eastAsia="黑体"/>
          <w:kern w:val="0"/>
          <w:szCs w:val="21"/>
        </w:rPr>
        <w:t>控制系统的网络安全</w:t>
      </w:r>
    </w:p>
    <w:p>
      <w:pPr>
        <w:pStyle w:val="115"/>
        <w:widowControl w:val="0"/>
      </w:pPr>
      <w:r>
        <w:rPr>
          <w:rFonts w:hint="eastAsia"/>
        </w:rPr>
        <w:t>不应在控制系统中使用USB等移动设备，当在控制系统中使用USB等移动设备时，应使用正规的杀毒软件进行杀毒，并始终保持杀毒软件是最新版本。</w:t>
      </w:r>
    </w:p>
    <w:p>
      <w:pPr>
        <w:pStyle w:val="115"/>
        <w:widowControl w:val="0"/>
        <w:jc w:val="both"/>
      </w:pPr>
      <w:r>
        <w:rPr>
          <w:rFonts w:hint="eastAsia"/>
        </w:rPr>
        <w:t>不应在控制系统的电脑上对手机等移动设备进行充电。</w:t>
      </w:r>
    </w:p>
    <w:p>
      <w:pPr>
        <w:pStyle w:val="115"/>
        <w:widowControl w:val="0"/>
        <w:jc w:val="both"/>
      </w:pPr>
      <w:r>
        <w:rPr>
          <w:rFonts w:hint="eastAsia"/>
        </w:rPr>
        <w:t>应对控制系统进行物理保护，包括门禁管理等。</w:t>
      </w:r>
    </w:p>
    <w:p>
      <w:pPr>
        <w:pStyle w:val="115"/>
        <w:widowControl w:val="0"/>
        <w:jc w:val="both"/>
      </w:pPr>
      <w:r>
        <w:rPr>
          <w:rFonts w:hint="eastAsia"/>
        </w:rPr>
        <w:t>不应在控制系统上安装或者卸载无用或没授权的软件。</w:t>
      </w:r>
    </w:p>
    <w:p>
      <w:pPr>
        <w:pStyle w:val="115"/>
        <w:widowControl w:val="0"/>
        <w:jc w:val="both"/>
      </w:pPr>
      <w:r>
        <w:rPr>
          <w:rFonts w:hint="eastAsia"/>
        </w:rPr>
        <w:t>应对控制系统实行分级密码和权限管理。</w:t>
      </w:r>
    </w:p>
    <w:p>
      <w:pPr>
        <w:pStyle w:val="115"/>
        <w:widowControl w:val="0"/>
        <w:jc w:val="both"/>
      </w:pPr>
      <w:r>
        <w:rPr>
          <w:rFonts w:hint="eastAsia"/>
        </w:rPr>
        <w:t>应定期更新控制系统控制电脑的安全补丁、杀毒软件的病毒库，并根据控制系统厂商的建议升级控制系统软件。</w:t>
      </w:r>
    </w:p>
    <w:p>
      <w:pPr>
        <w:pStyle w:val="115"/>
        <w:widowControl w:val="0"/>
        <w:jc w:val="both"/>
      </w:pPr>
      <w:r>
        <w:rPr>
          <w:rFonts w:hint="eastAsia"/>
        </w:rPr>
        <w:t>和第三方进行通讯时，应根据通讯方式设置必要的防火墙，并设置通讯规则。</w:t>
      </w:r>
    </w:p>
    <w:p>
      <w:pPr>
        <w:pStyle w:val="115"/>
        <w:widowControl w:val="0"/>
        <w:jc w:val="both"/>
      </w:pPr>
      <w:r>
        <w:rPr>
          <w:rFonts w:hint="eastAsia"/>
        </w:rPr>
        <w:t>应定期对控制系统进行备份，包括程序备份和系统备份。</w:t>
      </w:r>
    </w:p>
    <w:p>
      <w:pPr>
        <w:pStyle w:val="115"/>
        <w:widowControl w:val="0"/>
        <w:jc w:val="both"/>
      </w:pPr>
      <w:r>
        <w:rPr>
          <w:rFonts w:hint="eastAsia"/>
        </w:rPr>
        <w:t>应定期对控制系统的网络安全进行评估。</w:t>
      </w:r>
    </w:p>
    <w:p>
      <w:pPr>
        <w:pStyle w:val="48"/>
        <w:widowControl w:val="0"/>
        <w:spacing w:before="156" w:after="156"/>
      </w:pPr>
      <w:r>
        <w:rPr>
          <w:rFonts w:hint="eastAsia"/>
        </w:rPr>
        <w:t>控制系统的生命周期管理</w:t>
      </w:r>
    </w:p>
    <w:p>
      <w:pPr>
        <w:pStyle w:val="115"/>
        <w:widowControl w:val="0"/>
        <w:jc w:val="both"/>
      </w:pPr>
      <w:r>
        <w:rPr>
          <w:rFonts w:hint="eastAsia"/>
        </w:rPr>
        <w:t>在空分装置中，对控制系统进行生命周期管理是维持控制系统安全稳定运行的重要保障。控制系统的变更管理（如逻辑变更和报警值变更等）和维持控制系统的机械完整性（如安全仪表回路的定期验证）都属于控制系统生命周期管理的重要内容。</w:t>
      </w:r>
    </w:p>
    <w:p>
      <w:pPr>
        <w:pStyle w:val="115"/>
        <w:widowControl w:val="0"/>
        <w:jc w:val="both"/>
      </w:pPr>
      <w:r>
        <w:rPr>
          <w:rFonts w:hint="eastAsia"/>
        </w:rPr>
        <w:t>控制系的生命周期管理应作为空分装置机械完整性项目的一部分。</w:t>
      </w:r>
    </w:p>
    <w:p>
      <w:pPr>
        <w:pStyle w:val="47"/>
        <w:widowControl w:val="0"/>
        <w:spacing w:before="312" w:after="312"/>
      </w:pPr>
      <w:bookmarkStart w:id="197" w:name="_Toc46239392"/>
      <w:bookmarkStart w:id="198" w:name="_Toc43218600"/>
      <w:bookmarkStart w:id="199" w:name="_Toc45627601"/>
      <w:bookmarkStart w:id="200" w:name="_Toc43215144"/>
      <w:bookmarkStart w:id="201" w:name="_Toc43218328"/>
      <w:bookmarkStart w:id="202" w:name="_Toc44335674"/>
      <w:bookmarkStart w:id="203" w:name="_Toc44335577"/>
      <w:bookmarkStart w:id="204" w:name="_Toc44336255"/>
      <w:bookmarkStart w:id="205" w:name="_Toc54355464"/>
      <w:bookmarkStart w:id="206" w:name="_Toc54434963"/>
      <w:bookmarkStart w:id="207" w:name="_Toc51244031"/>
      <w:bookmarkStart w:id="208" w:name="_Toc54447482"/>
      <w:bookmarkStart w:id="209" w:name="_Toc54446529"/>
      <w:r>
        <w:rPr>
          <w:rFonts w:hint="eastAsia"/>
        </w:rPr>
        <w:t>安全操作运行</w:t>
      </w:r>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44"/>
        <w:widowControl w:val="0"/>
        <w:spacing w:before="156" w:after="156"/>
      </w:pPr>
      <w:r>
        <w:rPr>
          <w:rFonts w:hint="eastAsia"/>
        </w:rPr>
        <w:t>火灾和爆炸危险</w:t>
      </w:r>
    </w:p>
    <w:p>
      <w:pPr>
        <w:pStyle w:val="65"/>
        <w:widowControl w:val="0"/>
        <w:jc w:val="both"/>
      </w:pPr>
      <w:r>
        <w:rPr>
          <w:rFonts w:hint="eastAsia"/>
        </w:rPr>
        <w:t>空分装置区域严禁吸烟和明火。当进行焊接、锡焊、碾磨等工作时，应对施工环境进行分析，确认没有氧气富集的情况，并确保在此类工作进行时不会发生氧气富集。</w:t>
      </w:r>
    </w:p>
    <w:p>
      <w:pPr>
        <w:pStyle w:val="65"/>
        <w:widowControl w:val="0"/>
        <w:jc w:val="both"/>
      </w:pPr>
      <w:r>
        <w:rPr>
          <w:rFonts w:hint="eastAsia"/>
        </w:rPr>
        <w:t>不应穿钉鞋进入空分装置区域，防止产生火花，衣服和鞋子应符合相关防静电要求。</w:t>
      </w:r>
    </w:p>
    <w:p>
      <w:pPr>
        <w:pStyle w:val="44"/>
        <w:widowControl w:val="0"/>
        <w:spacing w:before="156" w:after="156"/>
      </w:pPr>
      <w:r>
        <w:rPr>
          <w:rFonts w:hint="eastAsia"/>
        </w:rPr>
        <w:t>氧气安全</w:t>
      </w:r>
    </w:p>
    <w:p>
      <w:pPr>
        <w:pStyle w:val="65"/>
        <w:widowControl w:val="0"/>
        <w:jc w:val="both"/>
      </w:pPr>
      <w:r>
        <w:rPr>
          <w:rFonts w:hint="eastAsia"/>
        </w:rPr>
        <w:t>应避免操作人员在氧气浓度上升的区域逗留。在氧气或富氧气氛的环境下停留过的人员的衣物应立即彻底吹扫。</w:t>
      </w:r>
    </w:p>
    <w:p>
      <w:pPr>
        <w:pStyle w:val="65"/>
        <w:widowControl w:val="0"/>
        <w:jc w:val="both"/>
      </w:pPr>
      <w:r>
        <w:rPr>
          <w:rFonts w:hint="eastAsia"/>
        </w:rPr>
        <w:t>氧气阀门应缓慢平稳地开启或关闭，避免快速操作氧气切断设备。在启动高压氧气管线之前应保证设备两端压力平衡，压差小于</w:t>
      </w:r>
      <w:r>
        <w:t>0.1MP</w:t>
      </w:r>
      <w:r>
        <w:rPr>
          <w:rFonts w:hint="eastAsia"/>
        </w:rPr>
        <w:t>a。</w:t>
      </w:r>
    </w:p>
    <w:p>
      <w:pPr>
        <w:pStyle w:val="65"/>
        <w:widowControl w:val="0"/>
        <w:jc w:val="both"/>
      </w:pPr>
      <w:r>
        <w:rPr>
          <w:rFonts w:hint="eastAsia"/>
        </w:rPr>
        <w:t>各设备使用的润滑剂或润滑介质应遵守厂家特殊的规定。对于氧气场合，应使用指定润滑剂。</w:t>
      </w:r>
    </w:p>
    <w:p>
      <w:pPr>
        <w:pStyle w:val="65"/>
        <w:widowControl w:val="0"/>
        <w:jc w:val="both"/>
      </w:pPr>
      <w:r>
        <w:rPr>
          <w:rFonts w:hint="eastAsia"/>
        </w:rPr>
        <w:t>在可能发生液氧泄漏的区域，基础应使用不可燃材料，不应使用沥青、木制品等，基础应无缝、不渗漏。</w:t>
      </w:r>
    </w:p>
    <w:p>
      <w:pPr>
        <w:pStyle w:val="44"/>
        <w:widowControl w:val="0"/>
        <w:spacing w:before="156" w:after="156"/>
      </w:pPr>
      <w:r>
        <w:rPr>
          <w:rFonts w:hint="eastAsia"/>
        </w:rPr>
        <w:t>窒息危险</w:t>
      </w:r>
    </w:p>
    <w:p>
      <w:pPr>
        <w:pStyle w:val="65"/>
        <w:widowControl w:val="0"/>
        <w:jc w:val="both"/>
      </w:pPr>
      <w:r>
        <w:rPr>
          <w:rFonts w:hint="eastAsia"/>
        </w:rPr>
        <w:t>对于可能发生惰性气体富集的区域，应设置警示标志，并采取相应的安全预防措施。</w:t>
      </w:r>
    </w:p>
    <w:p>
      <w:pPr>
        <w:pStyle w:val="65"/>
        <w:widowControl w:val="0"/>
        <w:jc w:val="both"/>
      </w:pPr>
      <w:r>
        <w:rPr>
          <w:rFonts w:hint="eastAsia"/>
        </w:rPr>
        <w:t>有窒息危险的区域应保持良好通风，并在操作人员进入前进行氧含量分析，在平原地区，氧含量应在19.5～23.5%之间。</w:t>
      </w:r>
    </w:p>
    <w:p>
      <w:pPr>
        <w:pStyle w:val="65"/>
        <w:widowControl w:val="0"/>
        <w:jc w:val="both"/>
      </w:pPr>
      <w:r>
        <w:rPr>
          <w:rFonts w:hint="eastAsia"/>
        </w:rPr>
        <w:t>禁止在惰性气体浓度过高的区域或可能发生惰性气体浓度过高的区域内逗留或工作。</w:t>
      </w:r>
    </w:p>
    <w:p>
      <w:pPr>
        <w:pStyle w:val="44"/>
        <w:widowControl w:val="0"/>
        <w:spacing w:before="156" w:after="156"/>
      </w:pPr>
      <w:r>
        <w:rPr>
          <w:rFonts w:hint="eastAsia"/>
        </w:rPr>
        <w:t>低温危险</w:t>
      </w:r>
    </w:p>
    <w:p>
      <w:pPr>
        <w:pStyle w:val="65"/>
        <w:widowControl w:val="0"/>
      </w:pPr>
      <w:r>
        <w:rPr>
          <w:rFonts w:hint="eastAsia"/>
        </w:rPr>
        <w:t>当处理低温液体时，操作人员应穿戴必要的防护用品（如手套、护目镜、密织衣物等），防止直接与低温液体接触，操作人员的裤脚不应塞到靴子里。</w:t>
      </w:r>
    </w:p>
    <w:p>
      <w:pPr>
        <w:pStyle w:val="65"/>
        <w:widowControl w:val="0"/>
        <w:jc w:val="both"/>
      </w:pPr>
      <w:r>
        <w:rPr>
          <w:rFonts w:hint="eastAsia"/>
        </w:rPr>
        <w:t>在进入或维修空分装置低温设备时，相关部位应复热到常温。</w:t>
      </w:r>
    </w:p>
    <w:p>
      <w:pPr>
        <w:pStyle w:val="65"/>
        <w:widowControl w:val="0"/>
        <w:jc w:val="both"/>
      </w:pPr>
      <w:r>
        <w:rPr>
          <w:rFonts w:hint="eastAsia"/>
        </w:rPr>
        <w:t>装置排液、解冻时，排液的速度应与液体处理设备（蒸汽喷射器、气化器、残液风机等）的气化能力相匹配，避免液体处理设备超负荷。</w:t>
      </w:r>
    </w:p>
    <w:p>
      <w:pPr>
        <w:pStyle w:val="65"/>
        <w:widowControl w:val="0"/>
        <w:jc w:val="both"/>
      </w:pPr>
      <w:r>
        <w:rPr>
          <w:rFonts w:hint="eastAsia"/>
        </w:rPr>
        <w:t>应防止低温液体排放至下水道或电缆槽。</w:t>
      </w:r>
    </w:p>
    <w:p>
      <w:pPr>
        <w:pStyle w:val="65"/>
        <w:widowControl w:val="0"/>
        <w:jc w:val="both"/>
      </w:pPr>
      <w:r>
        <w:rPr>
          <w:rFonts w:hint="eastAsia"/>
        </w:rPr>
        <w:t>排液坑及相连管道应保持吹扫，避免积水及堵塞。</w:t>
      </w:r>
    </w:p>
    <w:p>
      <w:pPr>
        <w:pStyle w:val="65"/>
        <w:widowControl w:val="0"/>
        <w:jc w:val="both"/>
      </w:pPr>
      <w:r>
        <w:rPr>
          <w:rFonts w:hint="eastAsia"/>
        </w:rPr>
        <w:t>应定期巡检查漏。</w:t>
      </w:r>
    </w:p>
    <w:p>
      <w:pPr>
        <w:pStyle w:val="44"/>
        <w:widowControl w:val="0"/>
        <w:spacing w:before="156" w:after="156"/>
      </w:pPr>
      <w:r>
        <w:rPr>
          <w:rFonts w:hint="eastAsia"/>
        </w:rPr>
        <w:t>空分装置冷箱</w:t>
      </w:r>
    </w:p>
    <w:p>
      <w:pPr>
        <w:pStyle w:val="65"/>
        <w:widowControl w:val="0"/>
        <w:jc w:val="both"/>
      </w:pPr>
      <w:r>
        <w:rPr>
          <w:rFonts w:hint="eastAsia"/>
        </w:rPr>
        <w:t>冷箱加温周期取决于装置设计、工艺循环、安装的质量和装置所处的位置。装置的加温周期宜在装置设计和安装阶段确定下来。在设计方未明确的情况下，宜每3年对整个装置进行一次全面加温。</w:t>
      </w:r>
    </w:p>
    <w:p>
      <w:pPr>
        <w:pStyle w:val="65"/>
        <w:widowControl w:val="0"/>
        <w:jc w:val="both"/>
      </w:pPr>
      <w:r>
        <w:rPr>
          <w:rFonts w:hint="eastAsia"/>
        </w:rPr>
        <w:t>可对装置的运行数据进行分析，根据实际情况对冷箱加温周期作适当延长。若发生如下异常情况时应缩短：</w:t>
      </w:r>
    </w:p>
    <w:p>
      <w:pPr>
        <w:pStyle w:val="50"/>
      </w:pPr>
      <w:r>
        <w:rPr>
          <w:rFonts w:hint="eastAsia"/>
        </w:rPr>
        <w:t>低温设备（如换热器、精馏塔）阻力异常；</w:t>
      </w:r>
    </w:p>
    <w:p>
      <w:pPr>
        <w:pStyle w:val="50"/>
      </w:pPr>
      <w:r>
        <w:rPr>
          <w:rFonts w:hint="eastAsia"/>
        </w:rPr>
        <w:t>主冷温差出现异常；</w:t>
      </w:r>
    </w:p>
    <w:p>
      <w:pPr>
        <w:pStyle w:val="50"/>
      </w:pPr>
      <w:r>
        <w:rPr>
          <w:rFonts w:hint="eastAsia"/>
        </w:rPr>
        <w:t>分子筛吸附装置或液氧吸附器多次出现异常故障；</w:t>
      </w:r>
    </w:p>
    <w:p>
      <w:pPr>
        <w:pStyle w:val="50"/>
      </w:pPr>
      <w:r>
        <w:rPr>
          <w:rFonts w:hint="eastAsia"/>
        </w:rPr>
        <w:t>原料空气碳氢化合物含量超标；</w:t>
      </w:r>
    </w:p>
    <w:p>
      <w:pPr>
        <w:pStyle w:val="50"/>
      </w:pPr>
      <w:r>
        <w:rPr>
          <w:rFonts w:hint="eastAsia"/>
        </w:rPr>
        <w:t>吸附器出口多次出现二氧化碳含量超标；</w:t>
      </w:r>
    </w:p>
    <w:p>
      <w:pPr>
        <w:pStyle w:val="50"/>
      </w:pPr>
      <w:r>
        <w:rPr>
          <w:rFonts w:hint="eastAsia"/>
        </w:rPr>
        <w:t>装置的环境条件与设计时相比有较大变化；</w:t>
      </w:r>
    </w:p>
    <w:p>
      <w:pPr>
        <w:pStyle w:val="50"/>
      </w:pPr>
      <w:r>
        <w:rPr>
          <w:rFonts w:hint="eastAsia"/>
        </w:rPr>
        <w:t>主冷杂质分析指标出现异常且无法通过工艺调整回正常范围。</w:t>
      </w:r>
    </w:p>
    <w:p>
      <w:pPr>
        <w:pStyle w:val="44"/>
        <w:widowControl w:val="0"/>
        <w:spacing w:before="156" w:after="156"/>
      </w:pPr>
      <w:r>
        <w:rPr>
          <w:rFonts w:hint="eastAsia"/>
        </w:rPr>
        <w:t>安全设施设备</w:t>
      </w:r>
    </w:p>
    <w:p>
      <w:pPr>
        <w:pStyle w:val="65"/>
        <w:widowControl w:val="0"/>
        <w:jc w:val="both"/>
      </w:pPr>
      <w:r>
        <w:rPr>
          <w:rFonts w:hint="eastAsia"/>
        </w:rPr>
        <w:t>带压的容器和管道应配有防超压的安全设备(安全阀、爆破片等)，安全设备应保持在正常状态。应定期检查安全阀的起跳压力，必要时重新调整。冷箱泄压装置应有防止冰雪或其他障碍物覆盖的措施，泄压平衡盒的盖板密封性应良好、插销转动应灵活。</w:t>
      </w:r>
    </w:p>
    <w:p>
      <w:pPr>
        <w:pStyle w:val="65"/>
        <w:widowControl w:val="0"/>
        <w:jc w:val="both"/>
      </w:pPr>
      <w:r>
        <w:rPr>
          <w:rFonts w:hint="eastAsia"/>
        </w:rPr>
        <w:t>空分装置中安全阀的校验周期可延长为与装置或设备检验周期一致，最长不应超过5年。</w:t>
      </w:r>
    </w:p>
    <w:p>
      <w:pPr>
        <w:pStyle w:val="65"/>
        <w:widowControl w:val="0"/>
        <w:jc w:val="both"/>
      </w:pPr>
      <w:r>
        <w:rPr>
          <w:rFonts w:hint="eastAsia"/>
        </w:rPr>
        <w:t>安全设备应保持在良好的可操作状态，报警器及安全设备应定期检查。</w:t>
      </w:r>
    </w:p>
    <w:p>
      <w:pPr>
        <w:pStyle w:val="44"/>
        <w:widowControl w:val="0"/>
        <w:spacing w:before="156" w:after="156"/>
      </w:pPr>
      <w:r>
        <w:rPr>
          <w:rFonts w:hint="eastAsia"/>
        </w:rPr>
        <w:t>主冷凝蒸发器安全</w:t>
      </w:r>
    </w:p>
    <w:p>
      <w:pPr>
        <w:pStyle w:val="65"/>
        <w:widowControl w:val="0"/>
        <w:jc w:val="both"/>
      </w:pPr>
      <w:r>
        <w:rPr>
          <w:rFonts w:hint="eastAsia"/>
        </w:rPr>
        <w:t>通过吸入空气带进的碳氢化合物是主要的污染源，因此应对碳氢化合物进行控制。在空分装置中，碳氢化合物积聚主要发生在以下部位：</w:t>
      </w:r>
    </w:p>
    <w:p>
      <w:pPr>
        <w:numPr>
          <w:ilvl w:val="0"/>
          <w:numId w:val="20"/>
        </w:numPr>
        <w:rPr>
          <w:rFonts w:ascii="宋体"/>
          <w:kern w:val="0"/>
          <w:szCs w:val="20"/>
        </w:rPr>
      </w:pPr>
      <w:r>
        <w:rPr>
          <w:rFonts w:hint="eastAsia" w:ascii="宋体"/>
          <w:kern w:val="0"/>
          <w:szCs w:val="20"/>
        </w:rPr>
        <w:t>空分装置的主冷凝蒸发器中；</w:t>
      </w:r>
    </w:p>
    <w:p>
      <w:pPr>
        <w:numPr>
          <w:ilvl w:val="0"/>
          <w:numId w:val="20"/>
        </w:numPr>
        <w:rPr>
          <w:rFonts w:ascii="宋体"/>
          <w:kern w:val="0"/>
          <w:szCs w:val="20"/>
        </w:rPr>
      </w:pPr>
      <w:r>
        <w:rPr>
          <w:rFonts w:hint="eastAsia" w:ascii="宋体"/>
          <w:kern w:val="0"/>
          <w:szCs w:val="20"/>
        </w:rPr>
        <w:t>粗氩再沸器、冷凝器的蒸发侧；</w:t>
      </w:r>
    </w:p>
    <w:p>
      <w:pPr>
        <w:numPr>
          <w:ilvl w:val="0"/>
          <w:numId w:val="20"/>
        </w:numPr>
        <w:rPr>
          <w:rFonts w:ascii="宋体"/>
          <w:kern w:val="0"/>
          <w:szCs w:val="20"/>
        </w:rPr>
      </w:pPr>
      <w:r>
        <w:rPr>
          <w:rFonts w:hint="eastAsia" w:ascii="宋体"/>
          <w:kern w:val="0"/>
          <w:szCs w:val="20"/>
        </w:rPr>
        <w:t>氪氙装置的再沸器、冷凝器；</w:t>
      </w:r>
    </w:p>
    <w:p>
      <w:pPr>
        <w:numPr>
          <w:ilvl w:val="0"/>
          <w:numId w:val="20"/>
        </w:numPr>
        <w:rPr>
          <w:rFonts w:ascii="宋体"/>
          <w:kern w:val="0"/>
          <w:szCs w:val="20"/>
        </w:rPr>
      </w:pPr>
      <w:r>
        <w:rPr>
          <w:rFonts w:hint="eastAsia" w:ascii="宋体"/>
          <w:kern w:val="0"/>
          <w:szCs w:val="20"/>
        </w:rPr>
        <w:t>低温吸附器；</w:t>
      </w:r>
    </w:p>
    <w:p>
      <w:pPr>
        <w:numPr>
          <w:ilvl w:val="0"/>
          <w:numId w:val="20"/>
        </w:numPr>
        <w:rPr>
          <w:rFonts w:ascii="宋体"/>
          <w:kern w:val="0"/>
          <w:szCs w:val="20"/>
        </w:rPr>
      </w:pPr>
      <w:r>
        <w:rPr>
          <w:rFonts w:hint="eastAsia" w:ascii="宋体"/>
          <w:kern w:val="0"/>
          <w:szCs w:val="20"/>
        </w:rPr>
        <w:t>对制氮机的废液或者内部压缩工艺装置的液氧产品蒸发的换热器通道。</w:t>
      </w:r>
    </w:p>
    <w:p>
      <w:pPr>
        <w:pStyle w:val="65"/>
        <w:widowControl w:val="0"/>
        <w:jc w:val="both"/>
      </w:pPr>
      <w:r>
        <w:rPr>
          <w:rFonts w:hint="eastAsia"/>
        </w:rPr>
        <w:t>浸浴式主冷凝蒸发器应符合9.3.6的要求。</w:t>
      </w:r>
    </w:p>
    <w:p>
      <w:pPr>
        <w:pStyle w:val="65"/>
        <w:widowControl w:val="0"/>
        <w:jc w:val="both"/>
      </w:pPr>
      <w:r>
        <w:rPr>
          <w:rFonts w:hint="eastAsia"/>
        </w:rPr>
        <w:t>降膜式主冷凝蒸发器应符合下列要求：</w:t>
      </w:r>
    </w:p>
    <w:p>
      <w:pPr>
        <w:pStyle w:val="50"/>
        <w:jc w:val="left"/>
      </w:pPr>
      <w:r>
        <w:rPr>
          <w:rFonts w:hint="eastAsia"/>
        </w:rPr>
        <w:t>液体分布器应设置液位指示和低液位报警。长时间高液位可能说明主冷蒸发器或分配器堵塞，应及时处理。液体分布器液位低可能说明回流或液氧循环泵流量出现问题，应及时处理，如8小时内无法恢复，则应停车。</w:t>
      </w:r>
    </w:p>
    <w:p>
      <w:pPr>
        <w:pStyle w:val="50"/>
        <w:jc w:val="left"/>
      </w:pPr>
      <w:r>
        <w:rPr>
          <w:rFonts w:hint="eastAsia"/>
        </w:rPr>
        <w:t>液氧流通率过低会导致主冷凝蒸发器通道中干蒸发，从而导致污染物（例如二氧化碳和氧化亚氮）沉积于通道中，无法在塔釜液体中及时检测出来，因此，应设置液体循环量的测量元件，包括流量计和其它和推断循环量的方式（例如氧泵电机电流）。</w:t>
      </w:r>
    </w:p>
    <w:p>
      <w:pPr>
        <w:pStyle w:val="50"/>
        <w:jc w:val="left"/>
      </w:pPr>
      <w:r>
        <w:rPr>
          <w:rFonts w:hint="eastAsia"/>
        </w:rPr>
        <w:t>降膜式主冷凝蒸发器应设置总碳氢、二氧化碳和氧化亚氮分析仪，并设置报警联锁。</w:t>
      </w:r>
    </w:p>
    <w:p>
      <w:pPr>
        <w:pStyle w:val="50"/>
        <w:jc w:val="left"/>
      </w:pPr>
      <w:r>
        <w:rPr>
          <w:rFonts w:hint="eastAsia"/>
        </w:rPr>
        <w:t>降膜式主冷凝蒸发器液体的流量应大于设计要求的最小流量，并满足出主冷凝蒸发器的气液比小于1/2的要求，保证液体循环比例或流量，如无法保证应联锁停机。</w:t>
      </w:r>
    </w:p>
    <w:p>
      <w:pPr>
        <w:pStyle w:val="50"/>
      </w:pPr>
      <w:r>
        <w:rPr>
          <w:rFonts w:hint="eastAsia"/>
        </w:rPr>
        <w:t>对于单独设置或上下塔分离的降膜式主冷凝蒸发器，宜配置2套的液氧泵。</w:t>
      </w:r>
    </w:p>
    <w:p>
      <w:pPr>
        <w:pStyle w:val="44"/>
        <w:widowControl w:val="0"/>
        <w:spacing w:before="156" w:after="156"/>
      </w:pPr>
      <w:r>
        <w:rPr>
          <w:rFonts w:hint="eastAsia"/>
        </w:rPr>
        <w:t>主冷凝蒸发器中杂质的分析及处理</w:t>
      </w:r>
    </w:p>
    <w:p>
      <w:pPr>
        <w:pStyle w:val="65"/>
        <w:widowControl w:val="0"/>
        <w:jc w:val="both"/>
      </w:pPr>
      <w:r>
        <w:rPr>
          <w:rFonts w:hint="eastAsia"/>
        </w:rPr>
        <w:t>在低压塔主冷凝蒸发器工作压力条件下，二氧化碳在液氧中的溶解度通常是4</w:t>
      </w:r>
      <w:r>
        <w:rPr>
          <w:rFonts w:hint="eastAsia" w:hAnsi="宋体"/>
        </w:rPr>
        <w:t>×</w:t>
      </w:r>
      <w:r>
        <w:t>10</w:t>
      </w:r>
      <w:r>
        <w:rPr>
          <w:rFonts w:hint="eastAsia"/>
          <w:vertAlign w:val="superscript"/>
        </w:rPr>
        <w:t>-</w:t>
      </w:r>
      <w:r>
        <w:rPr>
          <w:vertAlign w:val="superscript"/>
        </w:rPr>
        <w:t>6</w:t>
      </w:r>
      <w:r>
        <w:rPr>
          <w:rFonts w:hint="eastAsia"/>
        </w:rPr>
        <w:t>～5</w:t>
      </w:r>
      <w:r>
        <w:rPr>
          <w:rFonts w:hint="eastAsia" w:hAnsi="宋体"/>
        </w:rPr>
        <w:t>×</w:t>
      </w:r>
      <w:r>
        <w:t>10</w:t>
      </w:r>
      <w:r>
        <w:rPr>
          <w:rFonts w:hint="eastAsia"/>
          <w:vertAlign w:val="superscript"/>
        </w:rPr>
        <w:t>-</w:t>
      </w:r>
      <w:r>
        <w:rPr>
          <w:vertAlign w:val="superscript"/>
        </w:rPr>
        <w:t>6</w:t>
      </w:r>
      <w:r>
        <w:rPr>
          <w:rFonts w:hint="eastAsia"/>
        </w:rPr>
        <w:t>，最高安全运行极限不应大于4</w:t>
      </w:r>
      <w:r>
        <w:rPr>
          <w:rFonts w:hint="eastAsia" w:hAnsi="宋体"/>
        </w:rPr>
        <w:t>×</w:t>
      </w:r>
      <w:r>
        <w:t>10</w:t>
      </w:r>
      <w:r>
        <w:rPr>
          <w:rFonts w:hint="eastAsia"/>
          <w:vertAlign w:val="superscript"/>
        </w:rPr>
        <w:t>-</w:t>
      </w:r>
      <w:r>
        <w:rPr>
          <w:vertAlign w:val="superscript"/>
        </w:rPr>
        <w:t>6</w:t>
      </w:r>
      <w:r>
        <w:rPr>
          <w:rFonts w:hint="eastAsia"/>
        </w:rPr>
        <w:t>（取决于主冷凝蒸发器的类型），浓度超标会导致通道堵塞和干沸腾。</w:t>
      </w:r>
    </w:p>
    <w:p>
      <w:pPr>
        <w:pStyle w:val="65"/>
        <w:widowControl w:val="0"/>
        <w:jc w:val="both"/>
      </w:pPr>
      <w:r>
        <w:rPr>
          <w:rFonts w:hint="eastAsia"/>
        </w:rPr>
        <w:t>对于分子筛吸附净化装置，应通过检测手段监控分子筛吸附器/出口空气中二氧化碳的含量。对于切换换热器装置，可根据切换板式换热器中点和冷端温度来推断二氧化碳污染。</w:t>
      </w:r>
    </w:p>
    <w:p>
      <w:pPr>
        <w:pStyle w:val="65"/>
        <w:widowControl w:val="0"/>
        <w:jc w:val="both"/>
      </w:pPr>
      <w:r>
        <w:rPr>
          <w:rFonts w:hint="eastAsia"/>
        </w:rPr>
        <w:t>如果同时存在二氧化碳和氧化亚氮这两种污染物并且从溶液中析出，形成一种共结晶固体，导致每一种纯组分的溶解度降低。为了确保溶解度，应将二氧化碳、氧化亚氮混合物的浓度保持在图1或图2所示的绿色范围内，如果浓度超出这个范围，应采取相应措施，如果浓度继续升高，应停机。</w:t>
      </w:r>
    </w:p>
    <w:p>
      <w:pPr>
        <w:pStyle w:val="65"/>
        <w:widowControl w:val="0"/>
        <w:jc w:val="both"/>
      </w:pPr>
      <w:r>
        <w:rPr>
          <w:rFonts w:hint="eastAsia"/>
        </w:rPr>
        <w:t>应定期对主冷凝蒸发器进行取样，取样周期取决于装置的位置和液氧取出量。如果浓度超标，应对液体进行排放，分析导致污染的原因，采取纠正措施，再对主冷凝蒸发器进行液位补充。</w:t>
      </w:r>
    </w:p>
    <w:p>
      <w:pPr>
        <w:pStyle w:val="65"/>
        <w:widowControl w:val="0"/>
        <w:numPr>
          <w:ilvl w:val="0"/>
          <w:numId w:val="0"/>
        </w:numPr>
        <w:jc w:val="center"/>
      </w:pPr>
      <w:r>
        <w:rPr>
          <w:szCs w:val="20"/>
        </w:rPr>
        <w:drawing>
          <wp:inline distT="0" distB="0" distL="0" distR="0">
            <wp:extent cx="2733675" cy="2269490"/>
            <wp:effectExtent l="19050" t="19050" r="9525" b="1651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9635" cy="2274684"/>
                    </a:xfrm>
                    <a:prstGeom prst="rect">
                      <a:avLst/>
                    </a:prstGeom>
                    <a:noFill/>
                    <a:ln w="9525" cmpd="sng">
                      <a:solidFill>
                        <a:srgbClr val="00B0F0"/>
                      </a:solidFill>
                      <a:miter lim="800000"/>
                      <a:headEnd/>
                      <a:tailEnd/>
                    </a:ln>
                    <a:effectLst/>
                  </pic:spPr>
                </pic:pic>
              </a:graphicData>
            </a:graphic>
          </wp:inline>
        </w:drawing>
      </w:r>
    </w:p>
    <w:p>
      <w:pPr>
        <w:pStyle w:val="130"/>
        <w:widowControl w:val="0"/>
        <w:spacing w:before="156" w:after="156"/>
      </w:pPr>
      <w:r>
        <w:rPr>
          <w:rFonts w:hint="eastAsia"/>
        </w:rPr>
        <w:t>降膜式主冷凝蒸发器联锁报警设定值曲线</w:t>
      </w:r>
    </w:p>
    <w:p>
      <w:pPr>
        <w:tabs>
          <w:tab w:val="center" w:pos="4201"/>
          <w:tab w:val="right" w:leader="dot" w:pos="9298"/>
        </w:tabs>
        <w:autoSpaceDE w:val="0"/>
        <w:autoSpaceDN w:val="0"/>
        <w:jc w:val="center"/>
        <w:rPr>
          <w:rFonts w:ascii="宋体"/>
          <w:kern w:val="0"/>
          <w:szCs w:val="20"/>
        </w:rPr>
      </w:pPr>
      <w:r>
        <w:rPr>
          <w:rFonts w:ascii="宋体"/>
          <w:kern w:val="0"/>
          <w:szCs w:val="20"/>
        </w:rPr>
        <w:drawing>
          <wp:inline distT="0" distB="0" distL="0" distR="0">
            <wp:extent cx="2888615" cy="1896745"/>
            <wp:effectExtent l="19050" t="19050" r="26035" b="27305"/>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06740" cy="1908688"/>
                    </a:xfrm>
                    <a:prstGeom prst="rect">
                      <a:avLst/>
                    </a:prstGeom>
                    <a:noFill/>
                    <a:ln w="9525" cmpd="sng">
                      <a:solidFill>
                        <a:srgbClr val="00B0F0"/>
                      </a:solidFill>
                      <a:miter lim="800000"/>
                      <a:headEnd/>
                      <a:tailEnd/>
                    </a:ln>
                    <a:effectLst/>
                  </pic:spPr>
                </pic:pic>
              </a:graphicData>
            </a:graphic>
          </wp:inline>
        </w:drawing>
      </w:r>
    </w:p>
    <w:p>
      <w:pPr>
        <w:pStyle w:val="130"/>
        <w:widowControl w:val="0"/>
        <w:spacing w:before="156" w:after="156"/>
      </w:pPr>
      <w:r>
        <w:rPr>
          <w:rFonts w:hint="eastAsia"/>
        </w:rPr>
        <w:t>主冷凝蒸发器工作报警联锁设定值类型的设定曲线</w:t>
      </w:r>
    </w:p>
    <w:p>
      <w:pPr>
        <w:pStyle w:val="44"/>
        <w:widowControl w:val="0"/>
        <w:spacing w:before="156" w:after="156"/>
      </w:pPr>
      <w:r>
        <w:rPr>
          <w:rFonts w:hint="eastAsia"/>
        </w:rPr>
        <w:t>液氧取出</w:t>
      </w:r>
    </w:p>
    <w:p>
      <w:pPr>
        <w:pStyle w:val="65"/>
        <w:widowControl w:val="0"/>
        <w:jc w:val="both"/>
      </w:pPr>
      <w:r>
        <w:rPr>
          <w:rFonts w:hint="eastAsia"/>
        </w:rPr>
        <w:t>为排除未完全吸附的碳氢化合物，所有装置（可逆式换热器、分子筛/预净化装置和其它装置）的连续液体取出率应至少达到氧总产量的1%。</w:t>
      </w:r>
    </w:p>
    <w:p>
      <w:pPr>
        <w:pStyle w:val="65"/>
        <w:widowControl w:val="0"/>
        <w:jc w:val="both"/>
      </w:pPr>
      <w:r>
        <w:rPr>
          <w:rFonts w:hint="eastAsia"/>
        </w:rPr>
        <w:t>降膜式主冷凝蒸发器宜将液体完全抽取，否则需设液相吸附器或其它措施清除污染物。对于小型空分装置，可采取间断液体吹除，应至少每8小时进行一次排液，排液量应至少达到氧总产量的1%。</w:t>
      </w:r>
    </w:p>
    <w:p>
      <w:pPr>
        <w:pStyle w:val="65"/>
        <w:widowControl w:val="0"/>
        <w:jc w:val="both"/>
      </w:pPr>
      <w:r>
        <w:rPr>
          <w:rFonts w:hint="eastAsia"/>
        </w:rPr>
        <w:t>在高纯度液氧运行条件下，应避免主冷凝蒸发器液氧浸没到填料上。</w:t>
      </w:r>
    </w:p>
    <w:p>
      <w:pPr>
        <w:pStyle w:val="65"/>
        <w:widowControl w:val="0"/>
        <w:jc w:val="both"/>
      </w:pPr>
      <w:r>
        <w:rPr>
          <w:rFonts w:hint="eastAsia"/>
        </w:rPr>
        <w:t>在超过95%氧纯度的低压塔中使用的铝填料片厚度应超过0.2mm厚度，铜填料至少超过0.1mm厚度。</w:t>
      </w:r>
    </w:p>
    <w:p>
      <w:pPr>
        <w:pStyle w:val="44"/>
        <w:widowControl w:val="0"/>
        <w:spacing w:before="156" w:after="156"/>
      </w:pPr>
      <w:r>
        <w:rPr>
          <w:rFonts w:hint="eastAsia"/>
        </w:rPr>
        <w:t>空分装置初次启动、运行、停机和解冻操作</w:t>
      </w:r>
    </w:p>
    <w:p>
      <w:pPr>
        <w:pStyle w:val="48"/>
        <w:widowControl w:val="0"/>
        <w:spacing w:before="156" w:after="156"/>
      </w:pPr>
      <w:r>
        <w:rPr>
          <w:rFonts w:hint="eastAsia"/>
        </w:rPr>
        <w:t>初次启动</w:t>
      </w:r>
    </w:p>
    <w:p>
      <w:pPr>
        <w:pStyle w:val="115"/>
        <w:widowControl w:val="0"/>
        <w:jc w:val="both"/>
      </w:pPr>
      <w:r>
        <w:rPr>
          <w:rFonts w:hint="eastAsia"/>
        </w:rPr>
        <w:t>装置初次启动时，应检查确认以下系统：</w:t>
      </w:r>
    </w:p>
    <w:p>
      <w:pPr>
        <w:numPr>
          <w:ilvl w:val="0"/>
          <w:numId w:val="20"/>
        </w:numPr>
        <w:rPr>
          <w:rFonts w:ascii="宋体"/>
          <w:kern w:val="0"/>
          <w:szCs w:val="20"/>
        </w:rPr>
      </w:pPr>
      <w:r>
        <w:rPr>
          <w:rFonts w:hint="eastAsia" w:ascii="宋体"/>
          <w:kern w:val="0"/>
          <w:szCs w:val="20"/>
        </w:rPr>
        <w:t>高低压供电系统；</w:t>
      </w:r>
    </w:p>
    <w:p>
      <w:pPr>
        <w:numPr>
          <w:ilvl w:val="0"/>
          <w:numId w:val="20"/>
        </w:numPr>
        <w:rPr>
          <w:rFonts w:ascii="宋体"/>
          <w:kern w:val="0"/>
          <w:szCs w:val="20"/>
        </w:rPr>
      </w:pPr>
      <w:r>
        <w:rPr>
          <w:rFonts w:hint="eastAsia" w:ascii="宋体"/>
          <w:kern w:val="0"/>
          <w:szCs w:val="20"/>
        </w:rPr>
        <w:t>再生气加热器的蒸汽及冷凝系统，或电加热器可送电；</w:t>
      </w:r>
    </w:p>
    <w:p>
      <w:pPr>
        <w:numPr>
          <w:ilvl w:val="0"/>
          <w:numId w:val="20"/>
        </w:numPr>
        <w:rPr>
          <w:rFonts w:ascii="宋体"/>
          <w:kern w:val="0"/>
          <w:szCs w:val="20"/>
        </w:rPr>
      </w:pPr>
      <w:r>
        <w:rPr>
          <w:rFonts w:hint="eastAsia" w:ascii="宋体"/>
          <w:kern w:val="0"/>
          <w:szCs w:val="20"/>
        </w:rPr>
        <w:t>仪表气供应系统；</w:t>
      </w:r>
    </w:p>
    <w:p>
      <w:pPr>
        <w:numPr>
          <w:ilvl w:val="0"/>
          <w:numId w:val="20"/>
        </w:numPr>
        <w:rPr>
          <w:rFonts w:ascii="宋体"/>
          <w:kern w:val="0"/>
          <w:szCs w:val="20"/>
        </w:rPr>
      </w:pPr>
      <w:r>
        <w:rPr>
          <w:rFonts w:hint="eastAsia" w:ascii="宋体"/>
          <w:kern w:val="0"/>
          <w:szCs w:val="20"/>
        </w:rPr>
        <w:t>冷箱夹层氮气供应系统；</w:t>
      </w:r>
    </w:p>
    <w:p>
      <w:pPr>
        <w:numPr>
          <w:ilvl w:val="0"/>
          <w:numId w:val="20"/>
        </w:numPr>
        <w:rPr>
          <w:rFonts w:ascii="宋体"/>
          <w:kern w:val="0"/>
          <w:szCs w:val="20"/>
        </w:rPr>
      </w:pPr>
      <w:r>
        <w:rPr>
          <w:rFonts w:hint="eastAsia" w:ascii="宋体"/>
          <w:kern w:val="0"/>
          <w:szCs w:val="20"/>
        </w:rPr>
        <w:t>循环冷却水系统完成吹扫预膜，旁通管线恢复、盲板移除，冷却水系统投用；</w:t>
      </w:r>
    </w:p>
    <w:p>
      <w:pPr>
        <w:numPr>
          <w:ilvl w:val="0"/>
          <w:numId w:val="20"/>
        </w:numPr>
        <w:rPr>
          <w:rFonts w:ascii="宋体"/>
          <w:kern w:val="0"/>
          <w:szCs w:val="20"/>
        </w:rPr>
      </w:pPr>
      <w:r>
        <w:rPr>
          <w:rFonts w:hint="eastAsia" w:ascii="宋体"/>
          <w:kern w:val="0"/>
          <w:szCs w:val="20"/>
        </w:rPr>
        <w:t>仪控系统可投入使用，阀门动作确认，仪表根阀打开，仪表投入使用；</w:t>
      </w:r>
    </w:p>
    <w:p>
      <w:pPr>
        <w:numPr>
          <w:ilvl w:val="0"/>
          <w:numId w:val="20"/>
        </w:numPr>
        <w:rPr>
          <w:rFonts w:ascii="宋体"/>
          <w:kern w:val="0"/>
          <w:szCs w:val="20"/>
        </w:rPr>
      </w:pPr>
      <w:r>
        <w:rPr>
          <w:rFonts w:hint="eastAsia" w:ascii="宋体"/>
          <w:kern w:val="0"/>
          <w:szCs w:val="20"/>
        </w:rPr>
        <w:t>蒸汽驱动设备的蒸汽管道完成吹扫打靶；</w:t>
      </w:r>
    </w:p>
    <w:p>
      <w:pPr>
        <w:numPr>
          <w:ilvl w:val="0"/>
          <w:numId w:val="20"/>
        </w:numPr>
        <w:rPr>
          <w:rFonts w:ascii="宋体"/>
          <w:kern w:val="0"/>
          <w:szCs w:val="20"/>
        </w:rPr>
      </w:pPr>
      <w:r>
        <w:rPr>
          <w:rFonts w:hint="eastAsia" w:ascii="宋体"/>
          <w:kern w:val="0"/>
          <w:szCs w:val="20"/>
        </w:rPr>
        <w:t>管道试压吹扫结束；</w:t>
      </w:r>
    </w:p>
    <w:p>
      <w:pPr>
        <w:numPr>
          <w:ilvl w:val="0"/>
          <w:numId w:val="20"/>
        </w:numPr>
        <w:rPr>
          <w:rFonts w:ascii="宋体"/>
          <w:kern w:val="0"/>
          <w:szCs w:val="20"/>
        </w:rPr>
      </w:pPr>
      <w:r>
        <w:rPr>
          <w:rFonts w:hint="eastAsia" w:ascii="宋体"/>
          <w:kern w:val="0"/>
          <w:szCs w:val="20"/>
        </w:rPr>
        <w:t>分子筛已填充；</w:t>
      </w:r>
    </w:p>
    <w:p>
      <w:pPr>
        <w:numPr>
          <w:ilvl w:val="0"/>
          <w:numId w:val="20"/>
        </w:numPr>
        <w:rPr>
          <w:rFonts w:ascii="宋体"/>
          <w:kern w:val="0"/>
          <w:szCs w:val="20"/>
        </w:rPr>
      </w:pPr>
      <w:r>
        <w:rPr>
          <w:rFonts w:hint="eastAsia" w:ascii="宋体"/>
          <w:kern w:val="0"/>
          <w:szCs w:val="20"/>
        </w:rPr>
        <w:t>珠光砂已填充，冷箱内通干燥气体保持微正压；</w:t>
      </w:r>
    </w:p>
    <w:p>
      <w:pPr>
        <w:numPr>
          <w:ilvl w:val="0"/>
          <w:numId w:val="20"/>
        </w:numPr>
        <w:rPr>
          <w:rFonts w:ascii="宋体"/>
          <w:kern w:val="0"/>
          <w:szCs w:val="20"/>
        </w:rPr>
      </w:pPr>
      <w:r>
        <w:rPr>
          <w:rFonts w:hint="eastAsia" w:ascii="宋体"/>
          <w:kern w:val="0"/>
          <w:szCs w:val="20"/>
        </w:rPr>
        <w:t>压缩机油路系统吹扫、油循环运行合格，压缩机润滑油系统可投入使用；</w:t>
      </w:r>
    </w:p>
    <w:p>
      <w:pPr>
        <w:numPr>
          <w:ilvl w:val="0"/>
          <w:numId w:val="20"/>
        </w:numPr>
        <w:rPr>
          <w:rFonts w:ascii="宋体"/>
          <w:kern w:val="0"/>
          <w:szCs w:val="20"/>
        </w:rPr>
      </w:pPr>
      <w:r>
        <w:rPr>
          <w:rFonts w:hint="eastAsia" w:ascii="宋体"/>
          <w:kern w:val="0"/>
          <w:szCs w:val="20"/>
        </w:rPr>
        <w:t>所有和安全相关的电器仪表测试正常，安全设备（例如安全阀，冷箱呼吸阀等）检查确认；</w:t>
      </w:r>
    </w:p>
    <w:p>
      <w:pPr>
        <w:numPr>
          <w:ilvl w:val="0"/>
          <w:numId w:val="20"/>
        </w:numPr>
        <w:rPr>
          <w:rFonts w:ascii="宋体"/>
          <w:kern w:val="0"/>
          <w:szCs w:val="20"/>
        </w:rPr>
      </w:pPr>
      <w:r>
        <w:rPr>
          <w:rFonts w:hint="eastAsia" w:ascii="宋体"/>
          <w:kern w:val="0"/>
          <w:szCs w:val="20"/>
        </w:rPr>
        <w:t>运输、安装等临时支架已去除，开机启动盲板已去除。</w:t>
      </w:r>
    </w:p>
    <w:p>
      <w:pPr>
        <w:pStyle w:val="53"/>
        <w:widowControl w:val="0"/>
        <w:spacing w:before="156" w:after="156"/>
      </w:pPr>
      <w:r>
        <w:rPr>
          <w:rFonts w:hint="eastAsia"/>
        </w:rPr>
        <w:t>空分装置前端设备启动</w:t>
      </w:r>
    </w:p>
    <w:p>
      <w:pPr>
        <w:pStyle w:val="120"/>
        <w:widowControl w:val="0"/>
        <w:jc w:val="both"/>
      </w:pPr>
      <w:r>
        <w:rPr>
          <w:rFonts w:hint="eastAsia"/>
        </w:rPr>
        <w:t>根据操作规程启动空压机和预冷系统。</w:t>
      </w:r>
    </w:p>
    <w:p>
      <w:pPr>
        <w:pStyle w:val="120"/>
        <w:widowControl w:val="0"/>
        <w:jc w:val="both"/>
      </w:pPr>
      <w:r>
        <w:rPr>
          <w:rFonts w:hint="eastAsia"/>
        </w:rPr>
        <w:t>根据分子筛启动程序启动分子筛，二氧化碳分析仪投用，确认分子筛出口为不含二氧化碳的干燥空气。对变温吸附流程，需根据装填材料确定合适温度进行加热，保证分子筛充分活化；对变压吸附流程，需进行至少两个吹扫周期再加大负荷。为防止分子筛流化而破坏床层，应有压差或最大流量限制，在正流和反流再生时不应超过设定值。</w:t>
      </w:r>
    </w:p>
    <w:p>
      <w:pPr>
        <w:pStyle w:val="120"/>
        <w:widowControl w:val="0"/>
        <w:jc w:val="both"/>
      </w:pPr>
      <w:r>
        <w:rPr>
          <w:rFonts w:hint="eastAsia"/>
        </w:rPr>
        <w:t>分子筛蒸汽加热器投用时蒸汽导入应缓慢升温，排放冷凝水，避免水锤。若使用电加热器，应先通加温气再通电，避免干烧。</w:t>
      </w:r>
    </w:p>
    <w:p>
      <w:pPr>
        <w:numPr>
          <w:ilvl w:val="4"/>
          <w:numId w:val="23"/>
        </w:numPr>
        <w:jc w:val="left"/>
        <w:outlineLvl w:val="5"/>
        <w:rPr>
          <w:rFonts w:ascii="宋体"/>
          <w:kern w:val="0"/>
          <w:szCs w:val="21"/>
        </w:rPr>
      </w:pPr>
      <w:r>
        <w:rPr>
          <w:rFonts w:hint="eastAsia" w:ascii="宋体"/>
          <w:kern w:val="0"/>
          <w:szCs w:val="21"/>
        </w:rPr>
        <w:t>分子筛活化结束后进行冷箱内设备管道吹扫。宜将空分冷箱内充压气体切换成氮气管线，逐步置换使冷箱内气体含氧纯度低于5%。</w:t>
      </w:r>
    </w:p>
    <w:p>
      <w:pPr>
        <w:pStyle w:val="53"/>
        <w:widowControl w:val="0"/>
        <w:spacing w:before="156" w:after="156"/>
      </w:pPr>
      <w:r>
        <w:rPr>
          <w:rFonts w:hint="eastAsia"/>
        </w:rPr>
        <w:t>冷箱吹扫</w:t>
      </w:r>
    </w:p>
    <w:p>
      <w:pPr>
        <w:pStyle w:val="120"/>
        <w:widowControl w:val="0"/>
        <w:jc w:val="both"/>
      </w:pPr>
      <w:r>
        <w:rPr>
          <w:rFonts w:hint="eastAsia"/>
        </w:rPr>
        <w:t>开车时，冷箱应进行吹扫，确保冷箱各部分露点低于-50℃。</w:t>
      </w:r>
    </w:p>
    <w:p>
      <w:pPr>
        <w:pStyle w:val="120"/>
        <w:widowControl w:val="0"/>
        <w:jc w:val="both"/>
      </w:pPr>
      <w:r>
        <w:rPr>
          <w:rFonts w:hint="eastAsia"/>
        </w:rPr>
        <w:t>在控制室准备好工艺流程图，将气体吹扫过的管路进行标记。</w:t>
      </w:r>
    </w:p>
    <w:p>
      <w:pPr>
        <w:pStyle w:val="120"/>
        <w:widowControl w:val="0"/>
        <w:jc w:val="both"/>
      </w:pPr>
      <w:r>
        <w:rPr>
          <w:rFonts w:hint="eastAsia"/>
        </w:rPr>
        <w:t>应脱开仪表管线、排放管线、取样管线进行单独吹扫。在脱开取样管线吹扫时，应防止冷箱超压。</w:t>
      </w:r>
    </w:p>
    <w:p>
      <w:pPr>
        <w:pStyle w:val="120"/>
        <w:widowControl w:val="0"/>
        <w:jc w:val="both"/>
      </w:pPr>
      <w:r>
        <w:rPr>
          <w:rFonts w:hint="eastAsia"/>
        </w:rPr>
        <w:t>冷箱吹扫过程中，应注意平行管线的吹扫，主换热器的不同单元管道、互为备用的低温泵的管道等应单独进行切换吹扫。</w:t>
      </w:r>
    </w:p>
    <w:p>
      <w:pPr>
        <w:pStyle w:val="120"/>
        <w:widowControl w:val="0"/>
        <w:jc w:val="both"/>
      </w:pPr>
      <w:r>
        <w:rPr>
          <w:rFonts w:hint="eastAsia"/>
        </w:rPr>
        <w:t>对低温泵进行吹扫过程中，应避免泵转动。</w:t>
      </w:r>
    </w:p>
    <w:p>
      <w:pPr>
        <w:pStyle w:val="120"/>
        <w:widowControl w:val="0"/>
        <w:jc w:val="both"/>
      </w:pPr>
      <w:r>
        <w:rPr>
          <w:rFonts w:hint="eastAsia"/>
        </w:rPr>
        <w:t>对膨胀机进行吹扫时，密封气、润滑油系统应提前投用。</w:t>
      </w:r>
    </w:p>
    <w:p>
      <w:pPr>
        <w:pStyle w:val="120"/>
        <w:widowControl w:val="0"/>
        <w:jc w:val="both"/>
      </w:pPr>
      <w:r>
        <w:rPr>
          <w:rFonts w:hint="eastAsia"/>
        </w:rPr>
        <w:t>每根液体管线、气体管线和加液管线均应吹扫干净，必要时可反向吹扫。</w:t>
      </w:r>
    </w:p>
    <w:p>
      <w:pPr>
        <w:pStyle w:val="120"/>
        <w:widowControl w:val="0"/>
        <w:jc w:val="both"/>
      </w:pPr>
      <w:r>
        <w:rPr>
          <w:rFonts w:hint="eastAsia"/>
        </w:rPr>
        <w:t>在吹扫过程中，可进行露点测试并记录，根据露点测试结果适当调整吹扫的阀门、流路气量。</w:t>
      </w:r>
    </w:p>
    <w:p>
      <w:pPr>
        <w:pStyle w:val="120"/>
        <w:widowControl w:val="0"/>
        <w:jc w:val="both"/>
      </w:pPr>
      <w:r>
        <w:rPr>
          <w:rFonts w:hint="eastAsia"/>
        </w:rPr>
        <w:t>应根据多次露点的趋势判断吹扫是否结束，必要时可进行静态露点测试。</w:t>
      </w:r>
    </w:p>
    <w:p>
      <w:pPr>
        <w:pStyle w:val="120"/>
        <w:widowControl w:val="0"/>
        <w:jc w:val="both"/>
      </w:pPr>
      <w:r>
        <w:rPr>
          <w:rFonts w:hint="eastAsia"/>
        </w:rPr>
        <w:t>当冷箱设备、管道、阀门等部位的露点合格后，吹扫结束。此时恢复脱开的仪表管线、排放管线等，进行冷箱冷却的准备。</w:t>
      </w:r>
    </w:p>
    <w:p>
      <w:pPr>
        <w:pStyle w:val="53"/>
        <w:widowControl w:val="0"/>
        <w:spacing w:before="156" w:after="156"/>
      </w:pPr>
      <w:r>
        <w:rPr>
          <w:rFonts w:hint="eastAsia"/>
        </w:rPr>
        <w:t>空分冷箱初次冷却</w:t>
      </w:r>
    </w:p>
    <w:p>
      <w:pPr>
        <w:pStyle w:val="120"/>
        <w:widowControl w:val="0"/>
        <w:jc w:val="both"/>
      </w:pPr>
      <w:r>
        <w:rPr>
          <w:rFonts w:hint="eastAsia"/>
        </w:rPr>
        <w:t>空分装置的冷量一般由膨胀机提供，确认冷箱具备冷却条件后，可按照膨胀机启动流程启动膨胀机。</w:t>
      </w:r>
    </w:p>
    <w:p>
      <w:pPr>
        <w:pStyle w:val="120"/>
        <w:widowControl w:val="0"/>
        <w:jc w:val="both"/>
      </w:pPr>
      <w:r>
        <w:rPr>
          <w:rFonts w:hint="eastAsia"/>
        </w:rPr>
        <w:t>冷却阶段换热器、塔器、管道及分离设备的温差不应太大，否则会导致材料的热应力毁坏设备。冷却过程应缓慢，膨胀机、精馏塔、塔内换热器等设备温度测点显示的温降不应超过30℃/h 。</w:t>
      </w:r>
    </w:p>
    <w:p>
      <w:pPr>
        <w:pStyle w:val="120"/>
        <w:widowControl w:val="0"/>
        <w:jc w:val="both"/>
      </w:pPr>
      <w:r>
        <w:rPr>
          <w:rFonts w:hint="eastAsia"/>
        </w:rPr>
        <w:t>精馏塔尤其是填料塔应缓慢且均匀冷却。冷却初期冷箱处于常温下，装置无法处理正常运行时的空气流量，主空压机多余的空气将通过放空阀放空。</w:t>
      </w:r>
    </w:p>
    <w:p>
      <w:pPr>
        <w:pStyle w:val="120"/>
        <w:widowControl w:val="0"/>
        <w:jc w:val="both"/>
      </w:pPr>
      <w:r>
        <w:rPr>
          <w:rFonts w:hint="eastAsia"/>
        </w:rPr>
        <w:t>冷箱冷却过程中，可通过冷箱的放气阀门在容器最远端适当排放热气体，但主要还是通过主换热器来回收膨胀机的制冷量。为了让更多的气体通过主换热器氧、氮、氩通道，可以调整塔压设定值。冷却结束后，塔压设定值调回到正常设定。</w:t>
      </w:r>
    </w:p>
    <w:p>
      <w:pPr>
        <w:pStyle w:val="120"/>
        <w:widowControl w:val="0"/>
        <w:jc w:val="both"/>
      </w:pPr>
      <w:r>
        <w:rPr>
          <w:rFonts w:hint="eastAsia"/>
        </w:rPr>
        <w:t>在冷却阶段，应保持主空压机的排压，尤其是分子筛吸附器后压力稳定。所有的调整都应根据主空压机的排压、下塔压力、上塔压力及入塔空气流量等参数进行。</w:t>
      </w:r>
    </w:p>
    <w:p>
      <w:pPr>
        <w:pStyle w:val="120"/>
        <w:widowControl w:val="0"/>
        <w:jc w:val="both"/>
      </w:pPr>
      <w:r>
        <w:rPr>
          <w:rFonts w:hint="eastAsia"/>
        </w:rPr>
        <w:t>冷却中应打开主冷的氖氦不凝气排放阀门。</w:t>
      </w:r>
    </w:p>
    <w:p>
      <w:pPr>
        <w:pStyle w:val="120"/>
        <w:widowControl w:val="0"/>
        <w:jc w:val="both"/>
      </w:pPr>
      <w:r>
        <w:rPr>
          <w:rFonts w:hint="eastAsia"/>
        </w:rPr>
        <w:t>当塔内出现液体时，应关闭或关小各液体管线的阀门。粗氩冷凝器、纯氩冷凝器等设备不需过早积液。</w:t>
      </w:r>
    </w:p>
    <w:p>
      <w:pPr>
        <w:pStyle w:val="120"/>
        <w:widowControl w:val="0"/>
        <w:jc w:val="both"/>
      </w:pPr>
      <w:r>
        <w:rPr>
          <w:rFonts w:hint="eastAsia"/>
        </w:rPr>
        <w:t>当冷箱内各容器温度达到约-165℃时，冷却阶段结束，可继续快速冷却进行积液调整。</w:t>
      </w:r>
    </w:p>
    <w:p>
      <w:pPr>
        <w:pStyle w:val="120"/>
        <w:widowControl w:val="0"/>
        <w:jc w:val="both"/>
      </w:pPr>
      <w:r>
        <w:rPr>
          <w:rFonts w:hint="eastAsia"/>
        </w:rPr>
        <w:t>当具备液位后，可对低温泵进行冷却，应确保密封气已投用正常。</w:t>
      </w:r>
    </w:p>
    <w:p>
      <w:pPr>
        <w:pStyle w:val="120"/>
        <w:widowControl w:val="0"/>
        <w:jc w:val="both"/>
      </w:pPr>
      <w:r>
        <w:rPr>
          <w:rFonts w:hint="eastAsia"/>
        </w:rPr>
        <w:t>泵的管线（入口，排气，出口管）应和泵体一起冷却，防止热应力对管道造成损坏。为避免冷却过快，可先用低温气体冷却，用气体冷却时，泵不应转动。在泵启动前，应用低温液体冷却，保证冷却排放阀出液，才可启动。</w:t>
      </w:r>
    </w:p>
    <w:p>
      <w:pPr>
        <w:pStyle w:val="53"/>
        <w:widowControl w:val="0"/>
        <w:spacing w:before="156" w:after="156"/>
      </w:pPr>
      <w:r>
        <w:rPr>
          <w:rFonts w:hint="eastAsia"/>
        </w:rPr>
        <w:t>膨胀机的启动运行</w:t>
      </w:r>
    </w:p>
    <w:p>
      <w:pPr>
        <w:pStyle w:val="120"/>
        <w:widowControl w:val="0"/>
        <w:jc w:val="both"/>
      </w:pPr>
      <w:r>
        <w:rPr>
          <w:rFonts w:hint="eastAsia"/>
        </w:rPr>
        <w:t>应控制好下塔液位，液位过高将淹没下塔空气进口，气液的剧烈流动将导致塔内结构损坏。</w:t>
      </w:r>
    </w:p>
    <w:p>
      <w:pPr>
        <w:pStyle w:val="120"/>
        <w:widowControl w:val="0"/>
        <w:jc w:val="both"/>
      </w:pPr>
      <w:r>
        <w:rPr>
          <w:rFonts w:hint="eastAsia"/>
        </w:rPr>
        <w:t>膨胀机启动运行</w:t>
      </w:r>
      <w:r>
        <w:t>中</w:t>
      </w:r>
      <w:r>
        <w:rPr>
          <w:rFonts w:hint="eastAsia"/>
        </w:rPr>
        <w:t>应注意上塔气体氧含量，避免启动时含氧过高。</w:t>
      </w:r>
    </w:p>
    <w:p>
      <w:pPr>
        <w:pStyle w:val="120"/>
        <w:widowControl w:val="0"/>
        <w:jc w:val="both"/>
      </w:pPr>
      <w:r>
        <w:rPr>
          <w:rFonts w:hint="eastAsia"/>
        </w:rPr>
        <w:t>可通过调节喷嘴开度来增加负荷，使膨胀机快速跨过临界转速，</w:t>
      </w:r>
      <w:r>
        <w:t>提高制冷效率</w:t>
      </w:r>
      <w:r>
        <w:rPr>
          <w:rFonts w:hint="eastAsia"/>
        </w:rPr>
        <w:t>。</w:t>
      </w:r>
    </w:p>
    <w:p>
      <w:pPr>
        <w:pStyle w:val="53"/>
        <w:widowControl w:val="0"/>
        <w:spacing w:before="156" w:after="156"/>
      </w:pPr>
      <w:r>
        <w:rPr>
          <w:rFonts w:hint="eastAsia"/>
        </w:rPr>
        <w:t>冷箱调纯</w:t>
      </w:r>
    </w:p>
    <w:p>
      <w:pPr>
        <w:pStyle w:val="120"/>
        <w:widowControl w:val="0"/>
        <w:jc w:val="both"/>
      </w:pPr>
      <w:r>
        <w:rPr>
          <w:rFonts w:hint="eastAsia"/>
        </w:rPr>
        <w:t>塔内积液后应优先建立主冷凝蒸发器液位，再将主冷凝蒸发器投入工作。随着主冷凝蒸发器工作，液位下降，下塔压力降低，吸入</w:t>
      </w:r>
      <w:r>
        <w:t>空气量增加，</w:t>
      </w:r>
      <w:r>
        <w:rPr>
          <w:rFonts w:hint="eastAsia"/>
        </w:rPr>
        <w:t>此时应操作维持好上下塔压力的稳定。</w:t>
      </w:r>
    </w:p>
    <w:p>
      <w:pPr>
        <w:pStyle w:val="120"/>
        <w:widowControl w:val="0"/>
        <w:jc w:val="both"/>
      </w:pPr>
      <w:r>
        <w:rPr>
          <w:rFonts w:hint="eastAsia"/>
        </w:rPr>
        <w:t>主冷凝蒸发器投用操作应根据DCS压力、温度数据，逐步、缓慢地进行。</w:t>
      </w:r>
    </w:p>
    <w:p>
      <w:pPr>
        <w:pStyle w:val="120"/>
        <w:widowControl w:val="0"/>
        <w:jc w:val="both"/>
      </w:pPr>
      <w:r>
        <w:rPr>
          <w:rFonts w:hint="eastAsia"/>
        </w:rPr>
        <w:t>当主冷凝蒸发器完全投用，液位、工况趋于稳定后，可进行纯度调整。对于内压缩流程，增压机及膨胀机最终调整应在内压缩泵启动之后完成。</w:t>
      </w:r>
    </w:p>
    <w:p>
      <w:pPr>
        <w:pStyle w:val="120"/>
        <w:widowControl w:val="0"/>
        <w:jc w:val="both"/>
      </w:pPr>
      <w:r>
        <w:rPr>
          <w:rFonts w:hint="eastAsia"/>
        </w:rPr>
        <w:t>主冷凝蒸发器液位建立过程中有换热器通道内积聚二氧化碳、氧化亚氮和总碳的危险，宜用液氮反灌来建立液位，降低风险。应在装置充分冷却后进行液氮反灌，防止材料产生热应力，损坏设备。</w:t>
      </w:r>
    </w:p>
    <w:p>
      <w:pPr>
        <w:pStyle w:val="120"/>
        <w:widowControl w:val="0"/>
        <w:jc w:val="both"/>
      </w:pPr>
      <w:r>
        <w:rPr>
          <w:rFonts w:hint="eastAsia"/>
        </w:rPr>
        <w:t>对于带氩</w:t>
      </w:r>
      <w:r>
        <w:t>装置</w:t>
      </w:r>
      <w:r>
        <w:rPr>
          <w:rFonts w:hint="eastAsia"/>
        </w:rPr>
        <w:t>，</w:t>
      </w:r>
      <w:r>
        <w:t>氩塔工况建立后，操作各设备稳定精馏工况，生产输出各种合格产品。</w:t>
      </w:r>
    </w:p>
    <w:p>
      <w:pPr>
        <w:pStyle w:val="48"/>
        <w:widowControl w:val="0"/>
        <w:spacing w:before="156" w:after="156"/>
      </w:pPr>
      <w:r>
        <w:rPr>
          <w:rFonts w:hint="eastAsia"/>
        </w:rPr>
        <w:t>正常运行、停机</w:t>
      </w:r>
    </w:p>
    <w:p>
      <w:pPr>
        <w:pStyle w:val="115"/>
        <w:widowControl w:val="0"/>
        <w:jc w:val="both"/>
      </w:pPr>
      <w:r>
        <w:rPr>
          <w:rFonts w:hint="eastAsia"/>
        </w:rPr>
        <w:t>空分装置应在设计允许范围内操作运行，根据产品需求变化进行负荷调整。</w:t>
      </w:r>
    </w:p>
    <w:p>
      <w:pPr>
        <w:pStyle w:val="115"/>
        <w:widowControl w:val="0"/>
        <w:jc w:val="both"/>
      </w:pPr>
      <w:r>
        <w:rPr>
          <w:rFonts w:hint="eastAsia"/>
        </w:rPr>
        <w:t>空分装置的报警、安全联锁不应无原因解除。</w:t>
      </w:r>
    </w:p>
    <w:p>
      <w:pPr>
        <w:pStyle w:val="115"/>
        <w:widowControl w:val="0"/>
        <w:jc w:val="both"/>
      </w:pPr>
      <w:r>
        <w:rPr>
          <w:rFonts w:hint="eastAsia"/>
        </w:rPr>
        <w:t>空分装置停车时，当塔内液位升高到第一块塔板</w:t>
      </w:r>
      <w:r>
        <w:t>或</w:t>
      </w:r>
      <w:r>
        <w:rPr>
          <w:rFonts w:hint="eastAsia"/>
        </w:rPr>
        <w:t>填料而淹没进气口时</w:t>
      </w:r>
      <w:r>
        <w:t>，</w:t>
      </w:r>
      <w:r>
        <w:rPr>
          <w:rFonts w:hint="eastAsia"/>
        </w:rPr>
        <w:t>应进行液体排放，直至液位高联锁解除。</w:t>
      </w:r>
    </w:p>
    <w:p>
      <w:pPr>
        <w:pStyle w:val="115"/>
        <w:widowControl w:val="0"/>
        <w:jc w:val="both"/>
      </w:pPr>
      <w:r>
        <w:rPr>
          <w:rFonts w:hint="eastAsia"/>
        </w:rPr>
        <w:t>临时停车时，若液位高度维持在安全液位以上，则不需排液，否则应排液并重新积液。</w:t>
      </w:r>
    </w:p>
    <w:p>
      <w:pPr>
        <w:pStyle w:val="115"/>
        <w:widowControl w:val="0"/>
        <w:jc w:val="both"/>
      </w:pPr>
      <w:r>
        <w:rPr>
          <w:rFonts w:hint="eastAsia"/>
        </w:rPr>
        <w:t>装置长时间停车时，主冷凝蒸发器应排液，换热器氧通道及高压氧气产品管线里的液体也应排放，防止低温液体蒸发后碳氢化合物在液氧管线浓缩积聚。</w:t>
      </w:r>
    </w:p>
    <w:p>
      <w:pPr>
        <w:pStyle w:val="115"/>
        <w:widowControl w:val="0"/>
        <w:jc w:val="both"/>
      </w:pPr>
      <w:r>
        <w:rPr>
          <w:rFonts w:hint="eastAsia"/>
        </w:rPr>
        <w:t>在装置停车期间，冷箱内各设备、容器不应出现超压或负压。</w:t>
      </w:r>
    </w:p>
    <w:p>
      <w:pPr>
        <w:pStyle w:val="48"/>
        <w:widowControl w:val="0"/>
        <w:spacing w:before="156" w:after="156"/>
      </w:pPr>
      <w:r>
        <w:rPr>
          <w:rFonts w:hint="eastAsia"/>
        </w:rPr>
        <w:t>装置解冻</w:t>
      </w:r>
    </w:p>
    <w:p>
      <w:pPr>
        <w:pStyle w:val="115"/>
        <w:widowControl w:val="0"/>
        <w:jc w:val="both"/>
      </w:pPr>
      <w:r>
        <w:rPr>
          <w:rFonts w:hint="eastAsia"/>
        </w:rPr>
        <w:t>应</w:t>
      </w:r>
      <w:r>
        <w:t>按照设备维护操作手册对装置进行解冻复温。</w:t>
      </w:r>
    </w:p>
    <w:p>
      <w:pPr>
        <w:pStyle w:val="115"/>
        <w:widowControl w:val="0"/>
        <w:jc w:val="both"/>
      </w:pPr>
      <w:r>
        <w:rPr>
          <w:rFonts w:hint="eastAsia"/>
        </w:rPr>
        <w:t>冷箱解冻前，应先将冷箱设备、管道内液体排放干净。</w:t>
      </w:r>
    </w:p>
    <w:p>
      <w:pPr>
        <w:pStyle w:val="115"/>
        <w:widowControl w:val="0"/>
        <w:jc w:val="both"/>
      </w:pPr>
      <w:r>
        <w:rPr>
          <w:rFonts w:hint="eastAsia"/>
        </w:rPr>
        <w:t>复温时，应确定系统密封气和吹扫气供应正常，分子筛吸附器处于工作状态，并提供加温所需的仪表空气。</w:t>
      </w:r>
    </w:p>
    <w:p>
      <w:pPr>
        <w:pStyle w:val="115"/>
        <w:widowControl w:val="0"/>
        <w:jc w:val="both"/>
      </w:pPr>
      <w:r>
        <w:rPr>
          <w:rFonts w:hint="eastAsia"/>
        </w:rPr>
        <w:t>如未设置单独复温管线，可通过正流气体进行复温。</w:t>
      </w:r>
    </w:p>
    <w:p>
      <w:pPr>
        <w:pStyle w:val="115"/>
        <w:widowControl w:val="0"/>
        <w:jc w:val="both"/>
      </w:pPr>
      <w:r>
        <w:rPr>
          <w:rFonts w:hint="eastAsia"/>
        </w:rPr>
        <w:t>冷箱复温的注意事项：</w:t>
      </w:r>
    </w:p>
    <w:p>
      <w:pPr>
        <w:pStyle w:val="50"/>
      </w:pPr>
      <w:r>
        <w:rPr>
          <w:rFonts w:hint="eastAsia"/>
        </w:rPr>
        <w:t>复温时，冷箱设备各部分应均匀复温，避免温差过大引起热应力损坏设备、管道；</w:t>
      </w:r>
    </w:p>
    <w:p>
      <w:pPr>
        <w:pStyle w:val="50"/>
      </w:pPr>
      <w:r>
        <w:rPr>
          <w:rFonts w:hint="eastAsia"/>
        </w:rPr>
        <w:t>复温前期设备处于低温阶段时，不应直接在大气中排放低温气体，应将气体从冷箱排出到排液系统，利用主换热器保证温差，减少复温时间；</w:t>
      </w:r>
    </w:p>
    <w:p>
      <w:pPr>
        <w:pStyle w:val="50"/>
      </w:pPr>
      <w:r>
        <w:rPr>
          <w:rFonts w:hint="eastAsia"/>
        </w:rPr>
        <w:t>所有管线均应复温，有必要时可打开阀门反向吹扫管线；</w:t>
      </w:r>
    </w:p>
    <w:p>
      <w:pPr>
        <w:pStyle w:val="50"/>
      </w:pPr>
      <w:r>
        <w:rPr>
          <w:rFonts w:hint="eastAsia"/>
        </w:rPr>
        <w:t>解冻末期，打开各测量管线，确保每个测点不发生报警和联锁。</w:t>
      </w:r>
    </w:p>
    <w:p>
      <w:pPr>
        <w:pStyle w:val="115"/>
        <w:widowControl w:val="0"/>
        <w:jc w:val="both"/>
      </w:pPr>
      <w:r>
        <w:rPr>
          <w:rFonts w:hint="eastAsia"/>
        </w:rPr>
        <w:t>当冷箱内温度指示和解冻管线出口处的温度高于0℃并持续2～3小时以上时，结束解冻过程。相关采样点的露点应在-50℃以下。</w:t>
      </w:r>
    </w:p>
    <w:p>
      <w:pPr>
        <w:pStyle w:val="115"/>
        <w:widowControl w:val="0"/>
        <w:jc w:val="both"/>
      </w:pPr>
      <w:r>
        <w:rPr>
          <w:rFonts w:hint="eastAsia"/>
        </w:rPr>
        <w:t>复温结束后，根据操作程序关停分子筛纯化系统和空压机，并进行后续操作。</w:t>
      </w:r>
    </w:p>
    <w:p>
      <w:pPr>
        <w:pStyle w:val="47"/>
        <w:widowControl w:val="0"/>
        <w:spacing w:before="312" w:after="312"/>
      </w:pPr>
      <w:bookmarkStart w:id="210" w:name="_Toc43215145"/>
      <w:bookmarkStart w:id="211" w:name="_Toc43218329"/>
      <w:bookmarkStart w:id="212" w:name="_Toc43218601"/>
      <w:bookmarkStart w:id="213" w:name="_Toc44335578"/>
      <w:bookmarkStart w:id="214" w:name="_Toc44335675"/>
      <w:bookmarkStart w:id="215" w:name="_Toc45627602"/>
      <w:bookmarkStart w:id="216" w:name="_Toc44336256"/>
      <w:bookmarkStart w:id="217" w:name="_Toc51244032"/>
      <w:bookmarkStart w:id="218" w:name="_Toc46239393"/>
      <w:bookmarkStart w:id="219" w:name="_Toc54447483"/>
      <w:bookmarkStart w:id="220" w:name="_Toc54434964"/>
      <w:bookmarkStart w:id="221" w:name="_Toc54355465"/>
      <w:bookmarkStart w:id="222" w:name="_Toc54446530"/>
      <w:r>
        <w:rPr>
          <w:rFonts w:hint="eastAsia"/>
        </w:rPr>
        <w:t>培训与事故应急</w:t>
      </w:r>
      <w:bookmarkEnd w:id="210"/>
      <w:bookmarkEnd w:id="211"/>
      <w:bookmarkEnd w:id="212"/>
      <w:bookmarkEnd w:id="213"/>
      <w:bookmarkEnd w:id="214"/>
      <w:bookmarkEnd w:id="215"/>
      <w:bookmarkEnd w:id="216"/>
      <w:bookmarkEnd w:id="217"/>
      <w:bookmarkEnd w:id="218"/>
      <w:r>
        <w:rPr>
          <w:rFonts w:hint="eastAsia"/>
        </w:rPr>
        <w:t>处置</w:t>
      </w:r>
      <w:bookmarkEnd w:id="219"/>
      <w:bookmarkEnd w:id="220"/>
      <w:bookmarkEnd w:id="221"/>
      <w:bookmarkEnd w:id="222"/>
    </w:p>
    <w:p>
      <w:pPr>
        <w:pStyle w:val="44"/>
        <w:widowControl w:val="0"/>
        <w:spacing w:before="156" w:after="156"/>
      </w:pPr>
      <w:r>
        <w:rPr>
          <w:rFonts w:hint="eastAsia"/>
        </w:rPr>
        <w:t>培训</w:t>
      </w:r>
    </w:p>
    <w:p>
      <w:pPr>
        <w:pStyle w:val="65"/>
        <w:widowControl w:val="0"/>
        <w:jc w:val="both"/>
      </w:pPr>
      <w:r>
        <w:rPr>
          <w:rFonts w:hint="eastAsia"/>
        </w:rPr>
        <w:t>应按照安全生产法和有关法律、行政法规和相关规定，建立、健全安全培训制度，建立从业人员安全培训档案。</w:t>
      </w:r>
    </w:p>
    <w:p>
      <w:pPr>
        <w:pStyle w:val="65"/>
        <w:widowControl w:val="0"/>
        <w:jc w:val="both"/>
      </w:pPr>
      <w:r>
        <w:rPr>
          <w:rFonts w:hint="eastAsia"/>
        </w:rPr>
        <w:t>企业主要负责人和安全生产管理人员应具有相应专业学历和一定实践经验，接受相关安全培训，经安全生产监管部门对其安全生产知识和管理能力考核合格，取得安全资格证书后，持证上岗。</w:t>
      </w:r>
    </w:p>
    <w:p>
      <w:pPr>
        <w:pStyle w:val="65"/>
        <w:widowControl w:val="0"/>
        <w:jc w:val="both"/>
      </w:pPr>
      <w:r>
        <w:rPr>
          <w:rFonts w:hint="eastAsia"/>
        </w:rPr>
        <w:t>特种作业人员（如电工等）应取得特种作业操作资格证书后，方可上岗作业。</w:t>
      </w:r>
    </w:p>
    <w:p>
      <w:pPr>
        <w:pStyle w:val="65"/>
        <w:widowControl w:val="0"/>
        <w:jc w:val="both"/>
      </w:pPr>
      <w:r>
        <w:rPr>
          <w:rFonts w:hint="eastAsia"/>
        </w:rPr>
        <w:t>空分装置操作工、化验人员以及循环水处理工（独立设置）等应取得国家职业资格或行业职业技能证书后，方可上岗作业。</w:t>
      </w:r>
    </w:p>
    <w:p>
      <w:pPr>
        <w:pStyle w:val="65"/>
        <w:widowControl w:val="0"/>
        <w:jc w:val="both"/>
      </w:pPr>
      <w:r>
        <w:rPr>
          <w:rFonts w:hint="eastAsia"/>
        </w:rPr>
        <w:t>从业人员入职前，应进行安全教育。</w:t>
      </w:r>
    </w:p>
    <w:p>
      <w:pPr>
        <w:pStyle w:val="65"/>
        <w:widowControl w:val="0"/>
        <w:jc w:val="both"/>
      </w:pPr>
      <w:r>
        <w:rPr>
          <w:rFonts w:hint="eastAsia"/>
        </w:rPr>
        <w:t>空分装置检修维护前，应按GB</w:t>
      </w:r>
      <w:r>
        <w:t xml:space="preserve"> </w:t>
      </w:r>
      <w:r>
        <w:rPr>
          <w:rFonts w:hint="eastAsia"/>
        </w:rPr>
        <w:t>30871的规定进行针对性的安全培训，并落实检修维护时的安全监护人。</w:t>
      </w:r>
    </w:p>
    <w:p>
      <w:pPr>
        <w:pStyle w:val="44"/>
        <w:widowControl w:val="0"/>
        <w:spacing w:before="156" w:after="156"/>
      </w:pPr>
      <w:r>
        <w:rPr>
          <w:rFonts w:hint="eastAsia"/>
        </w:rPr>
        <w:t>职业健康管理</w:t>
      </w:r>
    </w:p>
    <w:p>
      <w:pPr>
        <w:numPr>
          <w:ilvl w:val="2"/>
          <w:numId w:val="23"/>
        </w:numPr>
        <w:spacing w:before="50" w:after="50"/>
        <w:jc w:val="left"/>
        <w:outlineLvl w:val="3"/>
        <w:rPr>
          <w:rFonts w:ascii="宋体"/>
          <w:kern w:val="0"/>
          <w:szCs w:val="21"/>
        </w:rPr>
      </w:pPr>
      <w:r>
        <w:rPr>
          <w:rFonts w:hint="eastAsia" w:ascii="宋体"/>
          <w:kern w:val="0"/>
          <w:szCs w:val="21"/>
        </w:rPr>
        <w:t>应设置或者指定职业卫生管理机构或者组织，配备专职或者兼职的职业卫生管理人员，负责本单位的职业病防治工作；制定职业卫生管理制度和操作规程，建立、健全职业卫生档案和劳动者健康监护档案；建立、健全工作场所职业病危害因素监测及评价制度；建立、健全职业病危害事故应急救援预案。</w:t>
      </w:r>
    </w:p>
    <w:p>
      <w:pPr>
        <w:pStyle w:val="65"/>
        <w:widowControl w:val="0"/>
        <w:jc w:val="both"/>
      </w:pPr>
      <w:r>
        <w:rPr>
          <w:rFonts w:hint="eastAsia"/>
        </w:rPr>
        <w:t>对产生严重职业病危害的作业岗位（如噪音等），应设置警示标识和警示说明。现场应配置急救用品等，定期对工作场所进行职业病危害因素检测、评价。</w:t>
      </w:r>
    </w:p>
    <w:p>
      <w:pPr>
        <w:pStyle w:val="65"/>
        <w:widowControl w:val="0"/>
        <w:jc w:val="both"/>
      </w:pPr>
      <w:r>
        <w:rPr>
          <w:rFonts w:hint="eastAsia"/>
        </w:rPr>
        <w:t>用人单位的主要负责人和职业卫生管理人员应接受职业卫生培训。</w:t>
      </w:r>
    </w:p>
    <w:p>
      <w:pPr>
        <w:pStyle w:val="65"/>
        <w:widowControl w:val="0"/>
        <w:jc w:val="both"/>
      </w:pPr>
      <w:r>
        <w:rPr>
          <w:rFonts w:hint="eastAsia"/>
        </w:rPr>
        <w:t>用人单位应为劳动者建立职业健康监护档案，并按照规定的期限妥善保存。</w:t>
      </w:r>
    </w:p>
    <w:p>
      <w:pPr>
        <w:pStyle w:val="44"/>
        <w:spacing w:before="156" w:after="156"/>
      </w:pPr>
      <w:r>
        <w:rPr>
          <w:rFonts w:hint="eastAsia"/>
        </w:rPr>
        <w:t>空分装置的生命安全</w:t>
      </w:r>
    </w:p>
    <w:p>
      <w:pPr>
        <w:pStyle w:val="65"/>
      </w:pPr>
      <w:r>
        <w:rPr>
          <w:rFonts w:hint="eastAsia"/>
        </w:rPr>
        <w:t>空分装置中的生命安全系统用于保护在窒息气体、富氧气体、可燃气体或者有毒有害气体的空间作业的人员安全。</w:t>
      </w:r>
    </w:p>
    <w:p>
      <w:pPr>
        <w:pStyle w:val="65"/>
      </w:pPr>
      <w:r>
        <w:rPr>
          <w:rFonts w:hint="eastAsia"/>
        </w:rPr>
        <w:t>空分装置中的生命安全系统应符合GB/T 50493等相关规范。</w:t>
      </w:r>
    </w:p>
    <w:p>
      <w:pPr>
        <w:pStyle w:val="65"/>
      </w:pPr>
      <w:r>
        <w:rPr>
          <w:rFonts w:hint="eastAsia"/>
        </w:rPr>
        <w:t>空分装置在有操作人员进入或易出现缺氧气氛的区域安装氧分析仪传感器或音响警报器。</w:t>
      </w:r>
    </w:p>
    <w:p>
      <w:pPr>
        <w:pStyle w:val="65"/>
      </w:pPr>
      <w:r>
        <w:rPr>
          <w:rFonts w:hint="eastAsia"/>
        </w:rPr>
        <w:t>操作人员进入封闭区域或容器内等缺氧环境时，宜采用独立来源的合格气源提供呼吸或用自给式呼吸装置，仪表空气系统不应用作呼吸用气来源。</w:t>
      </w:r>
    </w:p>
    <w:p>
      <w:pPr>
        <w:pStyle w:val="65"/>
      </w:pPr>
      <w:r>
        <w:rPr>
          <w:rFonts w:hint="eastAsia"/>
        </w:rPr>
        <w:t>在缺氧气氛中及其附近区域工作的人员应执行相应的程序，包括受限空间进入程序。</w:t>
      </w:r>
    </w:p>
    <w:p>
      <w:pPr>
        <w:pStyle w:val="65"/>
      </w:pPr>
      <w:r>
        <w:rPr>
          <w:rFonts w:hint="eastAsia"/>
        </w:rPr>
        <w:t>对用于生命安全系统（包括其分析仪表）应按照国家标准、行业标准、团体标准及法规要求进行定期校验。</w:t>
      </w:r>
    </w:p>
    <w:p>
      <w:pPr>
        <w:pStyle w:val="44"/>
        <w:widowControl w:val="0"/>
        <w:spacing w:before="156" w:after="156"/>
      </w:pPr>
      <w:r>
        <w:rPr>
          <w:rFonts w:hint="eastAsia"/>
        </w:rPr>
        <w:t>应急预案编制及演练</w:t>
      </w:r>
    </w:p>
    <w:p>
      <w:pPr>
        <w:pStyle w:val="65"/>
        <w:widowControl w:val="0"/>
        <w:jc w:val="both"/>
      </w:pPr>
      <w:r>
        <w:rPr>
          <w:rFonts w:hint="eastAsia"/>
        </w:rPr>
        <w:t>应按GB</w:t>
      </w:r>
      <w:r>
        <w:t>/</w:t>
      </w:r>
      <w:r>
        <w:rPr>
          <w:rFonts w:hint="eastAsia"/>
        </w:rPr>
        <w:t>T</w:t>
      </w:r>
      <w:r>
        <w:t xml:space="preserve"> </w:t>
      </w:r>
      <w:r>
        <w:rPr>
          <w:rFonts w:hint="eastAsia"/>
        </w:rPr>
        <w:t>29639的规定编制空分装置应急预案，并按GB/T 33942的规定编制特种设备专项应急预案。</w:t>
      </w:r>
    </w:p>
    <w:p>
      <w:pPr>
        <w:pStyle w:val="65"/>
        <w:widowControl w:val="0"/>
        <w:jc w:val="both"/>
      </w:pPr>
      <w:r>
        <w:rPr>
          <w:rFonts w:hint="eastAsia"/>
        </w:rPr>
        <w:t>生产经营单位的应急预案的编制应遵循以人为本、依法依规、符合实际、注重实效的原则，以应急处置为核心，明确应急职责、规范应急程序、细化保障措施，并按《生产安全事故应急预案管理办法》（应机构管理部2</w:t>
      </w:r>
      <w:r>
        <w:t>019</w:t>
      </w:r>
      <w:r>
        <w:rPr>
          <w:rFonts w:hint="eastAsia"/>
        </w:rPr>
        <w:t>年2号令）的规定进行评审，形成书面评审纪要。评审后，由本单位主要负责人签署，向本单位从业人员公布，并及时发放到本单位有关部门、岗位和相关应急救援队伍。</w:t>
      </w:r>
    </w:p>
    <w:p>
      <w:pPr>
        <w:pStyle w:val="65"/>
        <w:widowControl w:val="0"/>
        <w:jc w:val="both"/>
      </w:pPr>
      <w:r>
        <w:rPr>
          <w:rFonts w:hint="eastAsia"/>
        </w:rPr>
        <w:t>应按AQ/T 9007的规定制定本单位的应急预案演练计划，应每年至少组织一次综合应急预案演练或者专项应急预案演练，每半年至少组织一次现场处置方案演练。</w:t>
      </w:r>
    </w:p>
    <w:p>
      <w:pPr>
        <w:pStyle w:val="65"/>
        <w:widowControl w:val="0"/>
        <w:jc w:val="both"/>
      </w:pPr>
      <w:r>
        <w:rPr>
          <w:rFonts w:hint="eastAsia"/>
        </w:rPr>
        <w:t>宜将空分装置的应急演练与周围工厂或装置、园区的演练进行联合，以提高区域协同救援能力。</w:t>
      </w:r>
    </w:p>
    <w:p>
      <w:pPr>
        <w:pStyle w:val="24"/>
        <w:widowControl w:val="0"/>
        <w:ind w:firstLine="0" w:firstLineChars="0"/>
        <w:jc w:val="center"/>
      </w:pPr>
    </w:p>
    <w:p>
      <w:pPr>
        <w:pStyle w:val="24"/>
        <w:widowControl w:val="0"/>
      </w:pPr>
    </w:p>
    <w:p>
      <w:pPr>
        <w:pStyle w:val="24"/>
        <w:widowControl w:val="0"/>
      </w:pPr>
    </w:p>
    <w:p>
      <w:pPr>
        <w:pStyle w:val="100"/>
        <w:widowControl w:val="0"/>
      </w:pPr>
    </w:p>
    <w:p>
      <w:pPr>
        <w:pStyle w:val="88"/>
      </w:pPr>
    </w:p>
    <w:p>
      <w:pPr>
        <w:pStyle w:val="86"/>
        <w:widowControl w:val="0"/>
      </w:pPr>
      <w:r>
        <w:br w:type="textWrapping"/>
      </w:r>
      <w:bookmarkStart w:id="223" w:name="_Toc46239394"/>
      <w:bookmarkStart w:id="224" w:name="_Toc44335676"/>
      <w:bookmarkStart w:id="225" w:name="_Toc45627603"/>
      <w:bookmarkStart w:id="226" w:name="_Toc44335579"/>
      <w:bookmarkStart w:id="227" w:name="_Toc44336257"/>
      <w:bookmarkStart w:id="228" w:name="_Toc54446531"/>
      <w:bookmarkStart w:id="229" w:name="_Toc51244033"/>
      <w:bookmarkStart w:id="230" w:name="_Toc54434965"/>
      <w:bookmarkStart w:id="231" w:name="_Toc54355466"/>
      <w:bookmarkStart w:id="232" w:name="_Toc54447484"/>
      <w:r>
        <w:rPr>
          <w:rFonts w:hint="eastAsia"/>
        </w:rPr>
        <w:t>（资料性附录）</w:t>
      </w:r>
      <w:r>
        <w:br w:type="textWrapping"/>
      </w:r>
      <w:r>
        <w:rPr>
          <w:rFonts w:hint="eastAsia"/>
        </w:rPr>
        <w:t>稀有气体工艺流程</w:t>
      </w:r>
      <w:bookmarkEnd w:id="223"/>
      <w:bookmarkEnd w:id="224"/>
      <w:bookmarkEnd w:id="225"/>
      <w:bookmarkEnd w:id="226"/>
      <w:bookmarkEnd w:id="227"/>
      <w:bookmarkEnd w:id="228"/>
      <w:bookmarkEnd w:id="229"/>
      <w:bookmarkEnd w:id="230"/>
      <w:bookmarkEnd w:id="231"/>
      <w:bookmarkEnd w:id="232"/>
    </w:p>
    <w:p>
      <w:pPr>
        <w:pStyle w:val="104"/>
        <w:widowControl w:val="0"/>
        <w:wordWrap/>
        <w:spacing w:before="312" w:after="312"/>
      </w:pPr>
      <w:r>
        <w:rPr>
          <w:rFonts w:hint="eastAsia"/>
        </w:rPr>
        <w:t>氪氙工艺流程</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采用液氧高压气化后除去甲烷，分子筛净化吸附，再采用填料塔低温分馏氪氙工艺。</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来自液氧储槽的含有氪氙的液氧经液氧泵加压后，进入蒸汽气化器气化，温度上升至常温，气化后的氧气经过高压节流阀节流后进入氧气回热器与高温返流氧气进行换热，在电加热器中进行加热，再进入甲烷反应炉中，在触媒的作用下生成二氧化碳和水；去除甲烷的氧气进入回热器，与正流高温氧气换热，然后依次进入空浴式冷却器、水冷却器。经水冷却器冷却后的氧气进入切换使用分子筛纯化器，氧气中的二氧化碳、碳氢化合物和水被吸附。两只分子筛吸附器，一只工作、另一只再生。</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经分子筛净化后的氧气，进入贫氪换热器与返流的低温氧气、氮气换热，冷却后进入氪氙浓缩塔。在塔内氪氙与氧气分离，浓缩的氪氙积存在塔的底部；抽出氪氙混合液送入氪氙分离塔进行分离，底部的粗氙液送入氟化物净除塔及纯氙塔进行再次提纯，然后气化充瓶。（也可以从纯氙塔抽出的液氙，气化后送入膜压机压缩，然后充瓶。）</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氪氙分离塔顶部的粗氪气进入纯氪塔，积累至一定量后从底部抽出，然后气化充瓶。（也可从纯氪塔抽出的液氪，气化后送入膜压机压缩，然后充瓶。）</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液氮作为氪氙浓缩塔顶冷凝器的冷源，与塔内蒸汽换热气化，送入贫氪换热器复热后出冷箱，进入分子筛系统的再生电加热器作为分子筛的再生气。</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从氪氙浓缩塔顶部抽取氧气，分为两股，一股经贫氪换热器复热后出冷箱，另一股与冷箱来的低温氮气混合，作为氪氙分离塔和纯氪塔顶冷凝器的冷源；冷却塔内的蒸汽提供塔内低温精馏所需的回流液。</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整个系统采用DCS计算机控制技术，实现集中、就地、机旁来监控整套设备的生产过程。</w:t>
      </w:r>
    </w:p>
    <w:p>
      <w:pPr>
        <w:tabs>
          <w:tab w:val="center" w:pos="4201"/>
          <w:tab w:val="right" w:leader="dot" w:pos="9298"/>
        </w:tabs>
        <w:autoSpaceDE w:val="0"/>
        <w:autoSpaceDN w:val="0"/>
        <w:jc w:val="center"/>
        <w:rPr>
          <w:rFonts w:ascii="宋体" w:hAnsi="宋体" w:eastAsia="PMingLiU" w:cs="宋体"/>
          <w:color w:val="000000"/>
          <w:kern w:val="0"/>
          <w:sz w:val="19"/>
          <w:szCs w:val="19"/>
          <w:lang w:val="zh-TW" w:eastAsia="zh-TW" w:bidi="zh-TW"/>
        </w:rPr>
      </w:pPr>
      <w:r>
        <w:rPr>
          <w:rFonts w:ascii="宋体" w:hAnsi="宋体" w:eastAsia="PMingLiU" w:cs="宋体"/>
          <w:color w:val="000000"/>
          <w:kern w:val="0"/>
          <w:sz w:val="19"/>
          <w:szCs w:val="19"/>
        </w:rPr>
        <w:drawing>
          <wp:inline distT="0" distB="0" distL="0" distR="0">
            <wp:extent cx="5528945" cy="3124835"/>
            <wp:effectExtent l="0" t="0" r="0" b="0"/>
            <wp:docPr id="13" name="图片 13" descr="C:\Users\ace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cer\Desktop\无标题.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34601" cy="3127723"/>
                    </a:xfrm>
                    <a:prstGeom prst="rect">
                      <a:avLst/>
                    </a:prstGeom>
                    <a:noFill/>
                    <a:ln>
                      <a:noFill/>
                    </a:ln>
                  </pic:spPr>
                </pic:pic>
              </a:graphicData>
            </a:graphic>
          </wp:inline>
        </w:drawing>
      </w:r>
    </w:p>
    <w:p>
      <w:pPr>
        <w:pStyle w:val="101"/>
        <w:spacing w:before="156" w:after="156"/>
        <w:rPr>
          <w:lang w:val="zh-TW" w:eastAsia="zh-TW" w:bidi="zh-TW"/>
        </w:rPr>
      </w:pPr>
      <w:r>
        <w:rPr>
          <w:rFonts w:hint="eastAsia"/>
          <w:lang w:val="zh-TW" w:bidi="zh-TW"/>
        </w:rPr>
        <w:t>稀有氪氙精提取装置流程简图</w:t>
      </w:r>
    </w:p>
    <w:p>
      <w:pPr>
        <w:pStyle w:val="104"/>
        <w:widowControl w:val="0"/>
        <w:wordWrap/>
        <w:spacing w:before="312" w:after="312"/>
        <w:rPr>
          <w:lang w:val="zh-TW" w:eastAsia="zh-TW" w:bidi="zh-TW"/>
        </w:rPr>
      </w:pPr>
      <w:r>
        <w:rPr>
          <w:rFonts w:hint="eastAsia"/>
          <w:lang w:val="zh-TW" w:bidi="zh-TW"/>
        </w:rPr>
        <w:t>氖氦工艺流程</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氖、氦分离及精制工艺主要包括：粗制氖氦系统，加氧除氢系统、除氮系统、氖氦分离系统、粗氦纯化、氖氦充装系统等。</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大型空分下塔顶部设有氦氖提馏段，用于主冷氦氖原料气不凝气富集，从主冷板式抽取氦氖原料气进入粗氦氖塔，粗氦氖塔中进一步精馏浓缩，塔顶采用液氮急冷，部分氮冷凝，因此可获得较高浓度的粗氦氖气，经换热后常温送出。</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由空分装置产出的氖氦混合气（原料）进入加氧除氢炉，在该设备中在触媒的作用下产生氢氧反应生成水，粗氖氦混合气中的氢气（3-5%）将被除去。除氢后的气体经冷却器冷却降至常温。含氮、氖、氦和水份的混合气体进入分子筛干燥，经隔膜压缩机加压。进入分离除氮主冷箱经低温精馏法脱除大量氮气再吸附除氮冷箱经低温吸附法彻底除掉残余氮气。该冷箱外壳采用真空绝热形式，工艺侧采用真空泵辅助液氮建立负压工况，确保氖氦混合气中的氮气液化脱除。</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除氮后的氖氦混合气经换热至常温后用隔膜压缩机增压。经压缩后的氖氦气体经反流低温氖氦换热器和负压液氮冷却器进行冷却后，进一步的节流降温产生液态氖和气态氦混合物，然后进入精馏塔再次从液体中分离出气态氦和液态氖，其中含氖的液体经换热器换热后出冷箱，作为产品氖用隔膜压缩机增压去充瓶系统。</w:t>
      </w:r>
    </w:p>
    <w:p>
      <w:p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来自分馏塔顶的粗氦气（含少量氖）进入换热器复热后送入粗氖/氦隔膜压缩机加压。再经过换热器进行冷却，进入氖吸附器进行氖氦的分离。分离后的纯氦将通过换热器换热至常温，作为产品氦经隔膜压缩机增压去充瓶系统。</w:t>
      </w:r>
    </w:p>
    <w:p>
      <w:pPr>
        <w:tabs>
          <w:tab w:val="center" w:pos="4201"/>
          <w:tab w:val="right" w:leader="dot" w:pos="9298"/>
        </w:tabs>
        <w:autoSpaceDE w:val="0"/>
        <w:autoSpaceDN w:val="0"/>
        <w:jc w:val="center"/>
        <w:rPr>
          <w:rFonts w:ascii="宋体"/>
          <w:kern w:val="0"/>
          <w:szCs w:val="20"/>
        </w:rPr>
      </w:pPr>
      <w:r>
        <w:rPr>
          <w:rFonts w:ascii="宋体" w:cs="宋体"/>
          <w:kern w:val="0"/>
          <w:sz w:val="22"/>
          <w:szCs w:val="22"/>
        </w:rPr>
        <w:drawing>
          <wp:inline distT="0" distB="0" distL="0" distR="0">
            <wp:extent cx="5400675" cy="2447925"/>
            <wp:effectExtent l="0" t="0" r="9525" b="9525"/>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675" cy="2447925"/>
                    </a:xfrm>
                    <a:prstGeom prst="rect">
                      <a:avLst/>
                    </a:prstGeom>
                    <a:noFill/>
                    <a:ln>
                      <a:noFill/>
                    </a:ln>
                  </pic:spPr>
                </pic:pic>
              </a:graphicData>
            </a:graphic>
          </wp:inline>
        </w:drawing>
      </w:r>
    </w:p>
    <w:p>
      <w:pPr>
        <w:pStyle w:val="101"/>
        <w:spacing w:before="156" w:after="156"/>
      </w:pPr>
      <w:r>
        <w:rPr>
          <w:rFonts w:hint="eastAsia"/>
        </w:rPr>
        <w:t>氖氦工艺流程</w:t>
      </w:r>
    </w:p>
    <w:p>
      <w:pPr>
        <w:pStyle w:val="24"/>
        <w:widowControl w:val="0"/>
      </w:pPr>
    </w:p>
    <w:p>
      <w:pPr>
        <w:pStyle w:val="24"/>
        <w:widowControl w:val="0"/>
      </w:pPr>
    </w:p>
    <w:p>
      <w:pPr>
        <w:pStyle w:val="100"/>
        <w:widowControl w:val="0"/>
      </w:pPr>
    </w:p>
    <w:p>
      <w:pPr>
        <w:pStyle w:val="88"/>
      </w:pPr>
    </w:p>
    <w:p>
      <w:pPr>
        <w:pStyle w:val="86"/>
        <w:widowControl w:val="0"/>
      </w:pPr>
      <w:r>
        <w:br w:type="textWrapping"/>
      </w:r>
      <w:bookmarkStart w:id="233" w:name="_Toc44336258"/>
      <w:bookmarkStart w:id="234" w:name="_Toc45627604"/>
      <w:bookmarkStart w:id="235" w:name="_Toc51244034"/>
      <w:bookmarkStart w:id="236" w:name="_Toc54434966"/>
      <w:bookmarkStart w:id="237" w:name="_Toc54355467"/>
      <w:bookmarkStart w:id="238" w:name="_Toc54446532"/>
      <w:bookmarkStart w:id="239" w:name="_Toc46239395"/>
      <w:bookmarkStart w:id="240" w:name="_Toc54447485"/>
      <w:r>
        <w:rPr>
          <w:rFonts w:hint="eastAsia"/>
        </w:rPr>
        <w:t>（资料性附录）</w:t>
      </w:r>
      <w:r>
        <w:br w:type="textWrapping"/>
      </w:r>
      <w:r>
        <w:rPr>
          <w:rFonts w:hint="eastAsia"/>
        </w:rPr>
        <w:t>控制系统相关示意图</w:t>
      </w:r>
      <w:bookmarkEnd w:id="233"/>
      <w:bookmarkEnd w:id="234"/>
      <w:bookmarkEnd w:id="235"/>
      <w:bookmarkEnd w:id="236"/>
      <w:bookmarkEnd w:id="237"/>
      <w:bookmarkEnd w:id="238"/>
      <w:bookmarkEnd w:id="239"/>
      <w:bookmarkEnd w:id="240"/>
    </w:p>
    <w:p>
      <w:pPr>
        <w:numPr>
          <w:ilvl w:val="1"/>
          <w:numId w:val="26"/>
        </w:numPr>
        <w:tabs>
          <w:tab w:val="left" w:pos="360"/>
        </w:tabs>
        <w:overflowPunct w:val="0"/>
        <w:autoSpaceDE w:val="0"/>
        <w:spacing w:before="312" w:beforeLines="100"/>
        <w:outlineLvl w:val="1"/>
        <w:rPr>
          <w:rFonts w:ascii="黑体" w:eastAsia="黑体"/>
          <w:kern w:val="21"/>
          <w:szCs w:val="20"/>
        </w:rPr>
      </w:pPr>
      <w:r>
        <w:rPr>
          <w:rFonts w:hint="eastAsia" w:ascii="黑体" w:eastAsia="黑体"/>
          <w:kern w:val="21"/>
          <w:szCs w:val="20"/>
        </w:rPr>
        <w:t>空分装置的控制系统结构</w:t>
      </w:r>
    </w:p>
    <w:p>
      <w:pPr>
        <w:tabs>
          <w:tab w:val="center" w:pos="4201"/>
          <w:tab w:val="right" w:leader="dot" w:pos="9298"/>
        </w:tabs>
        <w:autoSpaceDE w:val="0"/>
        <w:autoSpaceDN w:val="0"/>
        <w:jc w:val="center"/>
        <w:rPr>
          <w:rFonts w:ascii="宋体"/>
          <w:kern w:val="0"/>
          <w:szCs w:val="20"/>
        </w:rPr>
      </w:pPr>
      <w:r>
        <w:rPr>
          <w:rFonts w:ascii="宋体"/>
          <w:kern w:val="0"/>
          <w:szCs w:val="20"/>
        </w:rPr>
        <w:drawing>
          <wp:inline distT="0" distB="0" distL="0" distR="0">
            <wp:extent cx="4389120" cy="2963545"/>
            <wp:effectExtent l="0" t="0" r="0" b="8255"/>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99509" cy="2970851"/>
                    </a:xfrm>
                    <a:prstGeom prst="rect">
                      <a:avLst/>
                    </a:prstGeom>
                    <a:noFill/>
                    <a:ln>
                      <a:noFill/>
                    </a:ln>
                  </pic:spPr>
                </pic:pic>
              </a:graphicData>
            </a:graphic>
          </wp:inline>
        </w:drawing>
      </w:r>
    </w:p>
    <w:p>
      <w:pPr>
        <w:pStyle w:val="101"/>
        <w:spacing w:before="156" w:after="156"/>
      </w:pPr>
      <w:r>
        <w:rPr>
          <w:rFonts w:hint="eastAsia"/>
        </w:rPr>
        <w:t>大型空分装置的控制系统结构</w:t>
      </w:r>
    </w:p>
    <w:p>
      <w:pPr>
        <w:numPr>
          <w:ilvl w:val="1"/>
          <w:numId w:val="26"/>
        </w:numPr>
        <w:tabs>
          <w:tab w:val="left" w:pos="360"/>
        </w:tabs>
        <w:overflowPunct w:val="0"/>
        <w:autoSpaceDE w:val="0"/>
        <w:spacing w:before="312" w:beforeLines="100"/>
        <w:outlineLvl w:val="1"/>
        <w:rPr>
          <w:rFonts w:ascii="黑体" w:eastAsia="黑体"/>
          <w:kern w:val="21"/>
          <w:szCs w:val="20"/>
        </w:rPr>
      </w:pPr>
      <w:r>
        <w:rPr>
          <w:rFonts w:hint="eastAsia" w:ascii="黑体" w:eastAsia="黑体"/>
          <w:kern w:val="21"/>
          <w:szCs w:val="20"/>
        </w:rPr>
        <w:t>安全仪表回路的验证方法</w:t>
      </w:r>
    </w:p>
    <w:p>
      <w:pPr>
        <w:tabs>
          <w:tab w:val="center" w:pos="4201"/>
          <w:tab w:val="right" w:leader="dot" w:pos="9298"/>
        </w:tabs>
        <w:autoSpaceDE w:val="0"/>
        <w:autoSpaceDN w:val="0"/>
        <w:jc w:val="center"/>
        <w:rPr>
          <w:rFonts w:ascii="宋体"/>
          <w:kern w:val="0"/>
          <w:szCs w:val="20"/>
        </w:rPr>
      </w:pPr>
      <w:r>
        <w:rPr>
          <w:rFonts w:ascii="宋体"/>
          <w:kern w:val="0"/>
          <w:szCs w:val="20"/>
        </w:rPr>
        <w:drawing>
          <wp:inline distT="0" distB="0" distL="0" distR="0">
            <wp:extent cx="4953635" cy="2777490"/>
            <wp:effectExtent l="0" t="0" r="0" b="381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78793" cy="2792077"/>
                    </a:xfrm>
                    <a:prstGeom prst="rect">
                      <a:avLst/>
                    </a:prstGeom>
                    <a:noFill/>
                    <a:ln>
                      <a:noFill/>
                    </a:ln>
                  </pic:spPr>
                </pic:pic>
              </a:graphicData>
            </a:graphic>
          </wp:inline>
        </w:drawing>
      </w:r>
    </w:p>
    <w:p>
      <w:pPr>
        <w:pStyle w:val="101"/>
        <w:spacing w:before="156" w:after="156"/>
      </w:pPr>
      <w:r>
        <w:rPr>
          <w:rFonts w:hint="eastAsia"/>
        </w:rPr>
        <w:t>安全仪表回路的分步式验证</w:t>
      </w:r>
    </w:p>
    <w:p>
      <w:pPr>
        <w:numPr>
          <w:ilvl w:val="1"/>
          <w:numId w:val="26"/>
        </w:numPr>
        <w:tabs>
          <w:tab w:val="left" w:pos="360"/>
        </w:tabs>
        <w:overflowPunct w:val="0"/>
        <w:autoSpaceDE w:val="0"/>
        <w:spacing w:before="312" w:beforeLines="100"/>
        <w:outlineLvl w:val="1"/>
        <w:rPr>
          <w:rFonts w:ascii="黑体" w:eastAsia="黑体"/>
          <w:kern w:val="21"/>
          <w:szCs w:val="20"/>
        </w:rPr>
      </w:pPr>
      <w:r>
        <w:rPr>
          <w:rFonts w:hint="eastAsia" w:ascii="黑体" w:eastAsia="黑体"/>
          <w:kern w:val="21"/>
          <w:szCs w:val="20"/>
        </w:rPr>
        <w:t>低温液体平底储罐溢流保护</w:t>
      </w:r>
    </w:p>
    <w:p>
      <w:pPr>
        <w:tabs>
          <w:tab w:val="center" w:pos="4201"/>
          <w:tab w:val="right" w:leader="dot" w:pos="9298"/>
        </w:tabs>
        <w:autoSpaceDE w:val="0"/>
        <w:autoSpaceDN w:val="0"/>
        <w:jc w:val="center"/>
        <w:rPr>
          <w:rFonts w:ascii="宋体"/>
          <w:kern w:val="0"/>
          <w:szCs w:val="20"/>
        </w:rPr>
      </w:pPr>
      <w:r>
        <w:rPr>
          <w:rFonts w:ascii="宋体"/>
          <w:kern w:val="0"/>
          <w:szCs w:val="20"/>
        </w:rPr>
        <w:drawing>
          <wp:inline distT="0" distB="0" distL="0" distR="0">
            <wp:extent cx="3665220" cy="2574290"/>
            <wp:effectExtent l="0" t="0" r="0" b="0"/>
            <wp:docPr id="11" name="图片 11" descr="C:\Users\acer\Deskto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cer\Desktop\未标题-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70614" cy="2578278"/>
                    </a:xfrm>
                    <a:prstGeom prst="rect">
                      <a:avLst/>
                    </a:prstGeom>
                    <a:noFill/>
                    <a:ln>
                      <a:noFill/>
                    </a:ln>
                  </pic:spPr>
                </pic:pic>
              </a:graphicData>
            </a:graphic>
          </wp:inline>
        </w:drawing>
      </w:r>
    </w:p>
    <w:p>
      <w:pPr>
        <w:pStyle w:val="101"/>
        <w:spacing w:before="156" w:after="156"/>
      </w:pPr>
      <w:r>
        <w:rPr>
          <w:rFonts w:hint="eastAsia"/>
        </w:rPr>
        <w:t>低温液体平底储罐溢流保护</w:t>
      </w:r>
    </w:p>
    <w:p>
      <w:pPr>
        <w:pStyle w:val="131"/>
        <w:framePr/>
      </w:pPr>
      <w:r>
        <w:t>_________________________________</w:t>
      </w: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AQ/T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hAnsi="黑体"/>
      </w:rPr>
    </w:pPr>
    <w:r>
      <w:rPr>
        <w:rFonts w:hAnsi="黑体"/>
      </w:rPr>
      <w:t>AQ/T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tentative="0">
      <w:start w:val="1"/>
      <w:numFmt w:val="decimal"/>
      <w:pStyle w:val="67"/>
      <w:suff w:val="nothing"/>
      <w:lvlText w:val="注%1："/>
      <w:lvlJc w:val="left"/>
      <w:pPr>
        <w:ind w:left="811" w:hanging="448"/>
      </w:pPr>
      <w:rPr>
        <w:rFonts w:hint="eastAsia" w:ascii="黑体" w:hAnsi="黑体" w:eastAsia="黑体"/>
        <w:b w:val="0"/>
        <w:i w:val="0"/>
        <w:sz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1">
    <w:nsid w:val="0F805D97"/>
    <w:multiLevelType w:val="multilevel"/>
    <w:tmpl w:val="0F805D97"/>
    <w:lvl w:ilvl="0" w:tentative="0">
      <w:start w:val="1"/>
      <w:numFmt w:val="none"/>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3"/>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30"/>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4"/>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3B55"/>
    <w:rsid w:val="00003F24"/>
    <w:rsid w:val="00004B91"/>
    <w:rsid w:val="00004E32"/>
    <w:rsid w:val="00005425"/>
    <w:rsid w:val="0000586F"/>
    <w:rsid w:val="00007B77"/>
    <w:rsid w:val="000121E9"/>
    <w:rsid w:val="00012E81"/>
    <w:rsid w:val="00013D86"/>
    <w:rsid w:val="00013E02"/>
    <w:rsid w:val="00013F68"/>
    <w:rsid w:val="0002143C"/>
    <w:rsid w:val="00022220"/>
    <w:rsid w:val="00025A65"/>
    <w:rsid w:val="00026C31"/>
    <w:rsid w:val="00027280"/>
    <w:rsid w:val="000320A7"/>
    <w:rsid w:val="000325EA"/>
    <w:rsid w:val="00035925"/>
    <w:rsid w:val="000368F8"/>
    <w:rsid w:val="00036C2C"/>
    <w:rsid w:val="00045A7C"/>
    <w:rsid w:val="00053404"/>
    <w:rsid w:val="00055371"/>
    <w:rsid w:val="00056A24"/>
    <w:rsid w:val="00057CE5"/>
    <w:rsid w:val="000607A3"/>
    <w:rsid w:val="000617E7"/>
    <w:rsid w:val="000657F7"/>
    <w:rsid w:val="00067CDF"/>
    <w:rsid w:val="00071658"/>
    <w:rsid w:val="00074FBE"/>
    <w:rsid w:val="00075890"/>
    <w:rsid w:val="0007762A"/>
    <w:rsid w:val="00081F6E"/>
    <w:rsid w:val="00083A09"/>
    <w:rsid w:val="000848FE"/>
    <w:rsid w:val="0009005E"/>
    <w:rsid w:val="000918A9"/>
    <w:rsid w:val="00092001"/>
    <w:rsid w:val="00092618"/>
    <w:rsid w:val="00092857"/>
    <w:rsid w:val="00092BD8"/>
    <w:rsid w:val="000936C2"/>
    <w:rsid w:val="000944E9"/>
    <w:rsid w:val="000964C7"/>
    <w:rsid w:val="000979D9"/>
    <w:rsid w:val="000A20A9"/>
    <w:rsid w:val="000A48B1"/>
    <w:rsid w:val="000A79F8"/>
    <w:rsid w:val="000B2F0E"/>
    <w:rsid w:val="000B3143"/>
    <w:rsid w:val="000B405D"/>
    <w:rsid w:val="000B4C4C"/>
    <w:rsid w:val="000C2BE6"/>
    <w:rsid w:val="000C587F"/>
    <w:rsid w:val="000C6B05"/>
    <w:rsid w:val="000C6DD6"/>
    <w:rsid w:val="000C7184"/>
    <w:rsid w:val="000C73D4"/>
    <w:rsid w:val="000D3D4C"/>
    <w:rsid w:val="000D4F51"/>
    <w:rsid w:val="000D718B"/>
    <w:rsid w:val="000E0C46"/>
    <w:rsid w:val="000E15EE"/>
    <w:rsid w:val="000E370A"/>
    <w:rsid w:val="000F030C"/>
    <w:rsid w:val="000F129C"/>
    <w:rsid w:val="000F174F"/>
    <w:rsid w:val="00104E29"/>
    <w:rsid w:val="001056DE"/>
    <w:rsid w:val="00107981"/>
    <w:rsid w:val="001124C0"/>
    <w:rsid w:val="001169C4"/>
    <w:rsid w:val="00117A25"/>
    <w:rsid w:val="00117F12"/>
    <w:rsid w:val="00121293"/>
    <w:rsid w:val="0013175F"/>
    <w:rsid w:val="0013364D"/>
    <w:rsid w:val="001343BB"/>
    <w:rsid w:val="00137264"/>
    <w:rsid w:val="0014025D"/>
    <w:rsid w:val="00142CBD"/>
    <w:rsid w:val="001512B4"/>
    <w:rsid w:val="00153A26"/>
    <w:rsid w:val="001620A5"/>
    <w:rsid w:val="00164DFB"/>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4A0"/>
    <w:rsid w:val="00192680"/>
    <w:rsid w:val="00192FF0"/>
    <w:rsid w:val="00193037"/>
    <w:rsid w:val="00193375"/>
    <w:rsid w:val="00193A2C"/>
    <w:rsid w:val="001A288E"/>
    <w:rsid w:val="001A4642"/>
    <w:rsid w:val="001B068D"/>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E3EBE"/>
    <w:rsid w:val="001F3A19"/>
    <w:rsid w:val="001F45E0"/>
    <w:rsid w:val="001F4E90"/>
    <w:rsid w:val="002009E4"/>
    <w:rsid w:val="00201053"/>
    <w:rsid w:val="0020251B"/>
    <w:rsid w:val="002073D3"/>
    <w:rsid w:val="00213BAB"/>
    <w:rsid w:val="00215D48"/>
    <w:rsid w:val="0021624B"/>
    <w:rsid w:val="0022185E"/>
    <w:rsid w:val="0022373C"/>
    <w:rsid w:val="00227FED"/>
    <w:rsid w:val="0023030A"/>
    <w:rsid w:val="00230F08"/>
    <w:rsid w:val="00234467"/>
    <w:rsid w:val="00235BE6"/>
    <w:rsid w:val="00237D8D"/>
    <w:rsid w:val="00241DA2"/>
    <w:rsid w:val="0024530F"/>
    <w:rsid w:val="00247FEE"/>
    <w:rsid w:val="00250E7D"/>
    <w:rsid w:val="002523DB"/>
    <w:rsid w:val="002527DD"/>
    <w:rsid w:val="00252DAA"/>
    <w:rsid w:val="002565D5"/>
    <w:rsid w:val="002622C0"/>
    <w:rsid w:val="00262699"/>
    <w:rsid w:val="0026659D"/>
    <w:rsid w:val="002778AE"/>
    <w:rsid w:val="0028269A"/>
    <w:rsid w:val="00283590"/>
    <w:rsid w:val="0028649C"/>
    <w:rsid w:val="00286973"/>
    <w:rsid w:val="00287674"/>
    <w:rsid w:val="002938A4"/>
    <w:rsid w:val="00294A99"/>
    <w:rsid w:val="00294E70"/>
    <w:rsid w:val="002954B8"/>
    <w:rsid w:val="002965D7"/>
    <w:rsid w:val="002967B2"/>
    <w:rsid w:val="002A1924"/>
    <w:rsid w:val="002A33BB"/>
    <w:rsid w:val="002A7420"/>
    <w:rsid w:val="002A7A7E"/>
    <w:rsid w:val="002B0F12"/>
    <w:rsid w:val="002B1308"/>
    <w:rsid w:val="002B32FD"/>
    <w:rsid w:val="002B4554"/>
    <w:rsid w:val="002B707C"/>
    <w:rsid w:val="002C72D8"/>
    <w:rsid w:val="002D11FA"/>
    <w:rsid w:val="002D17BC"/>
    <w:rsid w:val="002D19A4"/>
    <w:rsid w:val="002D2881"/>
    <w:rsid w:val="002D6352"/>
    <w:rsid w:val="002E0DDF"/>
    <w:rsid w:val="002E2906"/>
    <w:rsid w:val="002E53F3"/>
    <w:rsid w:val="002E5635"/>
    <w:rsid w:val="002E64C3"/>
    <w:rsid w:val="002E6A2C"/>
    <w:rsid w:val="002F035E"/>
    <w:rsid w:val="002F0FE8"/>
    <w:rsid w:val="002F1D8C"/>
    <w:rsid w:val="002F21DA"/>
    <w:rsid w:val="002F34B8"/>
    <w:rsid w:val="00301F39"/>
    <w:rsid w:val="003024B1"/>
    <w:rsid w:val="00303D27"/>
    <w:rsid w:val="00305BEE"/>
    <w:rsid w:val="00313962"/>
    <w:rsid w:val="00316041"/>
    <w:rsid w:val="003202D1"/>
    <w:rsid w:val="003224F6"/>
    <w:rsid w:val="00323394"/>
    <w:rsid w:val="003234E0"/>
    <w:rsid w:val="00325926"/>
    <w:rsid w:val="00327A8A"/>
    <w:rsid w:val="003339A3"/>
    <w:rsid w:val="00336610"/>
    <w:rsid w:val="00341F5C"/>
    <w:rsid w:val="00343910"/>
    <w:rsid w:val="00343D23"/>
    <w:rsid w:val="00343F73"/>
    <w:rsid w:val="00345060"/>
    <w:rsid w:val="003451FB"/>
    <w:rsid w:val="00352629"/>
    <w:rsid w:val="0035323B"/>
    <w:rsid w:val="00353D19"/>
    <w:rsid w:val="0035520E"/>
    <w:rsid w:val="0035785A"/>
    <w:rsid w:val="00360687"/>
    <w:rsid w:val="003609D2"/>
    <w:rsid w:val="0036145F"/>
    <w:rsid w:val="00363543"/>
    <w:rsid w:val="00363F22"/>
    <w:rsid w:val="00364025"/>
    <w:rsid w:val="00364379"/>
    <w:rsid w:val="00364940"/>
    <w:rsid w:val="00375564"/>
    <w:rsid w:val="00376489"/>
    <w:rsid w:val="00383191"/>
    <w:rsid w:val="00383FD5"/>
    <w:rsid w:val="00386DED"/>
    <w:rsid w:val="003905D9"/>
    <w:rsid w:val="003912E7"/>
    <w:rsid w:val="0039331B"/>
    <w:rsid w:val="00393947"/>
    <w:rsid w:val="00395141"/>
    <w:rsid w:val="003A0E27"/>
    <w:rsid w:val="003A2275"/>
    <w:rsid w:val="003A5084"/>
    <w:rsid w:val="003A6A4F"/>
    <w:rsid w:val="003A7088"/>
    <w:rsid w:val="003A7CE8"/>
    <w:rsid w:val="003B00DF"/>
    <w:rsid w:val="003B1275"/>
    <w:rsid w:val="003B1778"/>
    <w:rsid w:val="003C11CB"/>
    <w:rsid w:val="003C3017"/>
    <w:rsid w:val="003C531E"/>
    <w:rsid w:val="003C6A77"/>
    <w:rsid w:val="003C75F3"/>
    <w:rsid w:val="003C78A3"/>
    <w:rsid w:val="003D36AB"/>
    <w:rsid w:val="003D6D52"/>
    <w:rsid w:val="003E1867"/>
    <w:rsid w:val="003E5729"/>
    <w:rsid w:val="003E5F33"/>
    <w:rsid w:val="003E724E"/>
    <w:rsid w:val="003F16B6"/>
    <w:rsid w:val="003F1D40"/>
    <w:rsid w:val="003F22BB"/>
    <w:rsid w:val="003F2A5B"/>
    <w:rsid w:val="003F4EE0"/>
    <w:rsid w:val="003F5559"/>
    <w:rsid w:val="00400473"/>
    <w:rsid w:val="00402153"/>
    <w:rsid w:val="00402E26"/>
    <w:rsid w:val="00402FC1"/>
    <w:rsid w:val="00414DFD"/>
    <w:rsid w:val="004200D9"/>
    <w:rsid w:val="00422435"/>
    <w:rsid w:val="0042478E"/>
    <w:rsid w:val="00425082"/>
    <w:rsid w:val="00431DEB"/>
    <w:rsid w:val="00440BE8"/>
    <w:rsid w:val="004418E6"/>
    <w:rsid w:val="0044259D"/>
    <w:rsid w:val="004439D9"/>
    <w:rsid w:val="00446B29"/>
    <w:rsid w:val="00451622"/>
    <w:rsid w:val="004524BE"/>
    <w:rsid w:val="00453F9A"/>
    <w:rsid w:val="00454CC3"/>
    <w:rsid w:val="00464903"/>
    <w:rsid w:val="00471E91"/>
    <w:rsid w:val="00474079"/>
    <w:rsid w:val="00474675"/>
    <w:rsid w:val="0047470C"/>
    <w:rsid w:val="00484C88"/>
    <w:rsid w:val="00486066"/>
    <w:rsid w:val="00496508"/>
    <w:rsid w:val="00497952"/>
    <w:rsid w:val="004A203E"/>
    <w:rsid w:val="004A35F9"/>
    <w:rsid w:val="004A4662"/>
    <w:rsid w:val="004A7E02"/>
    <w:rsid w:val="004B157A"/>
    <w:rsid w:val="004B24C1"/>
    <w:rsid w:val="004B3092"/>
    <w:rsid w:val="004B49B1"/>
    <w:rsid w:val="004B557C"/>
    <w:rsid w:val="004C0C10"/>
    <w:rsid w:val="004C292F"/>
    <w:rsid w:val="004C657F"/>
    <w:rsid w:val="004C793E"/>
    <w:rsid w:val="004D306F"/>
    <w:rsid w:val="004D4B02"/>
    <w:rsid w:val="004D4F76"/>
    <w:rsid w:val="004D729A"/>
    <w:rsid w:val="004E1EDB"/>
    <w:rsid w:val="004E27FD"/>
    <w:rsid w:val="004E2FA6"/>
    <w:rsid w:val="004E4B13"/>
    <w:rsid w:val="004E4B8C"/>
    <w:rsid w:val="004E5A47"/>
    <w:rsid w:val="004E6B81"/>
    <w:rsid w:val="005036E2"/>
    <w:rsid w:val="00504046"/>
    <w:rsid w:val="00510280"/>
    <w:rsid w:val="00513D73"/>
    <w:rsid w:val="005148B3"/>
    <w:rsid w:val="00514A43"/>
    <w:rsid w:val="00515E9C"/>
    <w:rsid w:val="005174E5"/>
    <w:rsid w:val="00520898"/>
    <w:rsid w:val="00522393"/>
    <w:rsid w:val="00522620"/>
    <w:rsid w:val="00525656"/>
    <w:rsid w:val="00525BF3"/>
    <w:rsid w:val="00534C02"/>
    <w:rsid w:val="00535553"/>
    <w:rsid w:val="0054044C"/>
    <w:rsid w:val="005410D1"/>
    <w:rsid w:val="0054264B"/>
    <w:rsid w:val="00543786"/>
    <w:rsid w:val="00545A49"/>
    <w:rsid w:val="005462F3"/>
    <w:rsid w:val="005463CC"/>
    <w:rsid w:val="00546D0D"/>
    <w:rsid w:val="0055153A"/>
    <w:rsid w:val="005533D7"/>
    <w:rsid w:val="00554B63"/>
    <w:rsid w:val="00560350"/>
    <w:rsid w:val="00562CF6"/>
    <w:rsid w:val="0056544B"/>
    <w:rsid w:val="00567177"/>
    <w:rsid w:val="00567B40"/>
    <w:rsid w:val="005703DE"/>
    <w:rsid w:val="005710BC"/>
    <w:rsid w:val="005755F1"/>
    <w:rsid w:val="00582BBE"/>
    <w:rsid w:val="005838CA"/>
    <w:rsid w:val="0058464E"/>
    <w:rsid w:val="0058650E"/>
    <w:rsid w:val="005972C3"/>
    <w:rsid w:val="005A01CB"/>
    <w:rsid w:val="005A19A9"/>
    <w:rsid w:val="005A58FF"/>
    <w:rsid w:val="005A5EAF"/>
    <w:rsid w:val="005A6491"/>
    <w:rsid w:val="005A64C0"/>
    <w:rsid w:val="005B1985"/>
    <w:rsid w:val="005B3C11"/>
    <w:rsid w:val="005C1C28"/>
    <w:rsid w:val="005C43D0"/>
    <w:rsid w:val="005C6DB5"/>
    <w:rsid w:val="005D3842"/>
    <w:rsid w:val="005E19E7"/>
    <w:rsid w:val="005E1BDD"/>
    <w:rsid w:val="005E2392"/>
    <w:rsid w:val="005F059D"/>
    <w:rsid w:val="005F08C8"/>
    <w:rsid w:val="00601622"/>
    <w:rsid w:val="0060789B"/>
    <w:rsid w:val="0061037E"/>
    <w:rsid w:val="00613FAA"/>
    <w:rsid w:val="00616C36"/>
    <w:rsid w:val="0061716C"/>
    <w:rsid w:val="006171AF"/>
    <w:rsid w:val="00617868"/>
    <w:rsid w:val="006243A1"/>
    <w:rsid w:val="00626005"/>
    <w:rsid w:val="00632E56"/>
    <w:rsid w:val="00635CBA"/>
    <w:rsid w:val="00636EFC"/>
    <w:rsid w:val="00642FD4"/>
    <w:rsid w:val="0064338B"/>
    <w:rsid w:val="006444CB"/>
    <w:rsid w:val="00646542"/>
    <w:rsid w:val="006474BA"/>
    <w:rsid w:val="006504F4"/>
    <w:rsid w:val="0065366F"/>
    <w:rsid w:val="00654BC9"/>
    <w:rsid w:val="006552FD"/>
    <w:rsid w:val="00656F0B"/>
    <w:rsid w:val="00657E06"/>
    <w:rsid w:val="00663733"/>
    <w:rsid w:val="00663AF3"/>
    <w:rsid w:val="00666B6C"/>
    <w:rsid w:val="00672814"/>
    <w:rsid w:val="00672CA6"/>
    <w:rsid w:val="00677B54"/>
    <w:rsid w:val="00682682"/>
    <w:rsid w:val="00682702"/>
    <w:rsid w:val="00683DAE"/>
    <w:rsid w:val="00692368"/>
    <w:rsid w:val="00695192"/>
    <w:rsid w:val="006A0D86"/>
    <w:rsid w:val="006A2EBC"/>
    <w:rsid w:val="006A513E"/>
    <w:rsid w:val="006A5EA0"/>
    <w:rsid w:val="006A783B"/>
    <w:rsid w:val="006A7B33"/>
    <w:rsid w:val="006B497F"/>
    <w:rsid w:val="006B4E13"/>
    <w:rsid w:val="006B75DD"/>
    <w:rsid w:val="006C0435"/>
    <w:rsid w:val="006C047C"/>
    <w:rsid w:val="006C3D8B"/>
    <w:rsid w:val="006C67E0"/>
    <w:rsid w:val="006C7ABA"/>
    <w:rsid w:val="006D0A13"/>
    <w:rsid w:val="006D0D60"/>
    <w:rsid w:val="006D1122"/>
    <w:rsid w:val="006D317E"/>
    <w:rsid w:val="006D3B1E"/>
    <w:rsid w:val="006D3C00"/>
    <w:rsid w:val="006E06AD"/>
    <w:rsid w:val="006E1982"/>
    <w:rsid w:val="006E3675"/>
    <w:rsid w:val="006E4A7F"/>
    <w:rsid w:val="006E6397"/>
    <w:rsid w:val="006F0967"/>
    <w:rsid w:val="006F2274"/>
    <w:rsid w:val="006F34FD"/>
    <w:rsid w:val="006F64A0"/>
    <w:rsid w:val="0070038F"/>
    <w:rsid w:val="007027B1"/>
    <w:rsid w:val="0070286C"/>
    <w:rsid w:val="00702B94"/>
    <w:rsid w:val="00704DF6"/>
    <w:rsid w:val="0070641D"/>
    <w:rsid w:val="0070651C"/>
    <w:rsid w:val="007132A3"/>
    <w:rsid w:val="00716421"/>
    <w:rsid w:val="00717745"/>
    <w:rsid w:val="00721419"/>
    <w:rsid w:val="00724EFB"/>
    <w:rsid w:val="00726575"/>
    <w:rsid w:val="00730310"/>
    <w:rsid w:val="007330DC"/>
    <w:rsid w:val="00740A49"/>
    <w:rsid w:val="007419C3"/>
    <w:rsid w:val="00746559"/>
    <w:rsid w:val="007467A7"/>
    <w:rsid w:val="007469DD"/>
    <w:rsid w:val="0074741B"/>
    <w:rsid w:val="0074759E"/>
    <w:rsid w:val="007478EA"/>
    <w:rsid w:val="007534AB"/>
    <w:rsid w:val="0075415C"/>
    <w:rsid w:val="00755547"/>
    <w:rsid w:val="00757097"/>
    <w:rsid w:val="007606CB"/>
    <w:rsid w:val="00761E8B"/>
    <w:rsid w:val="00763502"/>
    <w:rsid w:val="00763E21"/>
    <w:rsid w:val="00764F41"/>
    <w:rsid w:val="00766E36"/>
    <w:rsid w:val="00776FB5"/>
    <w:rsid w:val="00780DE2"/>
    <w:rsid w:val="007913AB"/>
    <w:rsid w:val="007914F7"/>
    <w:rsid w:val="00792B5D"/>
    <w:rsid w:val="00795C73"/>
    <w:rsid w:val="007A0BDE"/>
    <w:rsid w:val="007A4809"/>
    <w:rsid w:val="007B0D35"/>
    <w:rsid w:val="007B1625"/>
    <w:rsid w:val="007B47C0"/>
    <w:rsid w:val="007B706E"/>
    <w:rsid w:val="007B71EB"/>
    <w:rsid w:val="007C0748"/>
    <w:rsid w:val="007C6205"/>
    <w:rsid w:val="007C686A"/>
    <w:rsid w:val="007C728E"/>
    <w:rsid w:val="007D0BE0"/>
    <w:rsid w:val="007D204F"/>
    <w:rsid w:val="007D2C53"/>
    <w:rsid w:val="007D32A9"/>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6763"/>
    <w:rsid w:val="008071C6"/>
    <w:rsid w:val="008138C2"/>
    <w:rsid w:val="008145E0"/>
    <w:rsid w:val="00817A00"/>
    <w:rsid w:val="00820B95"/>
    <w:rsid w:val="00825891"/>
    <w:rsid w:val="00826FC3"/>
    <w:rsid w:val="00831631"/>
    <w:rsid w:val="0083228D"/>
    <w:rsid w:val="00833D07"/>
    <w:rsid w:val="00835DB3"/>
    <w:rsid w:val="0083617B"/>
    <w:rsid w:val="00836342"/>
    <w:rsid w:val="00836A2D"/>
    <w:rsid w:val="008371BD"/>
    <w:rsid w:val="00840EBF"/>
    <w:rsid w:val="008504A8"/>
    <w:rsid w:val="00851B58"/>
    <w:rsid w:val="0085282E"/>
    <w:rsid w:val="00853E72"/>
    <w:rsid w:val="0087198C"/>
    <w:rsid w:val="00871C7D"/>
    <w:rsid w:val="00872C1F"/>
    <w:rsid w:val="00873B42"/>
    <w:rsid w:val="00877B5E"/>
    <w:rsid w:val="00877CB0"/>
    <w:rsid w:val="008805AC"/>
    <w:rsid w:val="00880D1A"/>
    <w:rsid w:val="00884468"/>
    <w:rsid w:val="008856D8"/>
    <w:rsid w:val="00890B8A"/>
    <w:rsid w:val="00892E82"/>
    <w:rsid w:val="00893277"/>
    <w:rsid w:val="00895FA9"/>
    <w:rsid w:val="008A1035"/>
    <w:rsid w:val="008A5FE0"/>
    <w:rsid w:val="008A6E08"/>
    <w:rsid w:val="008B4E70"/>
    <w:rsid w:val="008B5B31"/>
    <w:rsid w:val="008B70D5"/>
    <w:rsid w:val="008C0BE9"/>
    <w:rsid w:val="008C1B58"/>
    <w:rsid w:val="008C39AE"/>
    <w:rsid w:val="008C40DF"/>
    <w:rsid w:val="008C590D"/>
    <w:rsid w:val="008D447E"/>
    <w:rsid w:val="008D450A"/>
    <w:rsid w:val="008D7566"/>
    <w:rsid w:val="008D77CA"/>
    <w:rsid w:val="008E0241"/>
    <w:rsid w:val="008E031B"/>
    <w:rsid w:val="008E0560"/>
    <w:rsid w:val="008E2D8C"/>
    <w:rsid w:val="008E7029"/>
    <w:rsid w:val="008E7EF6"/>
    <w:rsid w:val="008F1F98"/>
    <w:rsid w:val="008F2340"/>
    <w:rsid w:val="008F2790"/>
    <w:rsid w:val="008F6758"/>
    <w:rsid w:val="00901C31"/>
    <w:rsid w:val="009029BD"/>
    <w:rsid w:val="009040DD"/>
    <w:rsid w:val="00905B47"/>
    <w:rsid w:val="0090690F"/>
    <w:rsid w:val="00911391"/>
    <w:rsid w:val="00912148"/>
    <w:rsid w:val="0091331C"/>
    <w:rsid w:val="009137BD"/>
    <w:rsid w:val="0091503D"/>
    <w:rsid w:val="00915F55"/>
    <w:rsid w:val="00916E77"/>
    <w:rsid w:val="00923167"/>
    <w:rsid w:val="0092344A"/>
    <w:rsid w:val="00926CEA"/>
    <w:rsid w:val="009275F6"/>
    <w:rsid w:val="009279DE"/>
    <w:rsid w:val="00927AB9"/>
    <w:rsid w:val="00927B37"/>
    <w:rsid w:val="00930116"/>
    <w:rsid w:val="00930625"/>
    <w:rsid w:val="00932C19"/>
    <w:rsid w:val="00936BC2"/>
    <w:rsid w:val="00941082"/>
    <w:rsid w:val="00941851"/>
    <w:rsid w:val="0094212C"/>
    <w:rsid w:val="00944853"/>
    <w:rsid w:val="0094609D"/>
    <w:rsid w:val="00952D90"/>
    <w:rsid w:val="0095378C"/>
    <w:rsid w:val="00954689"/>
    <w:rsid w:val="0095472A"/>
    <w:rsid w:val="0096085A"/>
    <w:rsid w:val="009617C9"/>
    <w:rsid w:val="00961C93"/>
    <w:rsid w:val="00962B4E"/>
    <w:rsid w:val="00965324"/>
    <w:rsid w:val="00966662"/>
    <w:rsid w:val="0097091E"/>
    <w:rsid w:val="009747A8"/>
    <w:rsid w:val="009760D3"/>
    <w:rsid w:val="00977132"/>
    <w:rsid w:val="00981A4B"/>
    <w:rsid w:val="00982250"/>
    <w:rsid w:val="00982501"/>
    <w:rsid w:val="00983D33"/>
    <w:rsid w:val="00984358"/>
    <w:rsid w:val="009877D3"/>
    <w:rsid w:val="0099400D"/>
    <w:rsid w:val="00994E8F"/>
    <w:rsid w:val="009951DC"/>
    <w:rsid w:val="009959BB"/>
    <w:rsid w:val="00997158"/>
    <w:rsid w:val="009A0827"/>
    <w:rsid w:val="009A0CBC"/>
    <w:rsid w:val="009A3A7C"/>
    <w:rsid w:val="009A5D33"/>
    <w:rsid w:val="009A69E9"/>
    <w:rsid w:val="009A7D84"/>
    <w:rsid w:val="009B2323"/>
    <w:rsid w:val="009B2ADB"/>
    <w:rsid w:val="009B603A"/>
    <w:rsid w:val="009B73D3"/>
    <w:rsid w:val="009C2D0E"/>
    <w:rsid w:val="009C3DAC"/>
    <w:rsid w:val="009C42E0"/>
    <w:rsid w:val="009C682E"/>
    <w:rsid w:val="009D3230"/>
    <w:rsid w:val="009D5362"/>
    <w:rsid w:val="009D65D6"/>
    <w:rsid w:val="009E1415"/>
    <w:rsid w:val="009E6116"/>
    <w:rsid w:val="009E7D35"/>
    <w:rsid w:val="009E7E25"/>
    <w:rsid w:val="009F6626"/>
    <w:rsid w:val="00A02E43"/>
    <w:rsid w:val="00A05368"/>
    <w:rsid w:val="00A065F9"/>
    <w:rsid w:val="00A07011"/>
    <w:rsid w:val="00A07F34"/>
    <w:rsid w:val="00A22154"/>
    <w:rsid w:val="00A24058"/>
    <w:rsid w:val="00A25C38"/>
    <w:rsid w:val="00A25CD3"/>
    <w:rsid w:val="00A303BB"/>
    <w:rsid w:val="00A314C7"/>
    <w:rsid w:val="00A35824"/>
    <w:rsid w:val="00A36BBE"/>
    <w:rsid w:val="00A37C20"/>
    <w:rsid w:val="00A40D9E"/>
    <w:rsid w:val="00A41DF7"/>
    <w:rsid w:val="00A420B1"/>
    <w:rsid w:val="00A42ECA"/>
    <w:rsid w:val="00A4307A"/>
    <w:rsid w:val="00A46DEF"/>
    <w:rsid w:val="00A47EBB"/>
    <w:rsid w:val="00A51CDD"/>
    <w:rsid w:val="00A563F8"/>
    <w:rsid w:val="00A56BBA"/>
    <w:rsid w:val="00A57B26"/>
    <w:rsid w:val="00A62054"/>
    <w:rsid w:val="00A65F03"/>
    <w:rsid w:val="00A6730D"/>
    <w:rsid w:val="00A67460"/>
    <w:rsid w:val="00A71625"/>
    <w:rsid w:val="00A71B9B"/>
    <w:rsid w:val="00A751C7"/>
    <w:rsid w:val="00A77E60"/>
    <w:rsid w:val="00A80008"/>
    <w:rsid w:val="00A84CE5"/>
    <w:rsid w:val="00A87844"/>
    <w:rsid w:val="00A9227B"/>
    <w:rsid w:val="00A97A55"/>
    <w:rsid w:val="00AA038C"/>
    <w:rsid w:val="00AA70D5"/>
    <w:rsid w:val="00AA7A09"/>
    <w:rsid w:val="00AB3B50"/>
    <w:rsid w:val="00AB46A7"/>
    <w:rsid w:val="00AB6522"/>
    <w:rsid w:val="00AC05B1"/>
    <w:rsid w:val="00AC450C"/>
    <w:rsid w:val="00AD340B"/>
    <w:rsid w:val="00AD356C"/>
    <w:rsid w:val="00AD63EF"/>
    <w:rsid w:val="00AE2914"/>
    <w:rsid w:val="00AE6D15"/>
    <w:rsid w:val="00AE7023"/>
    <w:rsid w:val="00AE78AA"/>
    <w:rsid w:val="00AF0EF3"/>
    <w:rsid w:val="00AF1F49"/>
    <w:rsid w:val="00AF2D81"/>
    <w:rsid w:val="00B04182"/>
    <w:rsid w:val="00B05ECF"/>
    <w:rsid w:val="00B07AE3"/>
    <w:rsid w:val="00B11430"/>
    <w:rsid w:val="00B12A5D"/>
    <w:rsid w:val="00B20AD5"/>
    <w:rsid w:val="00B242F4"/>
    <w:rsid w:val="00B2477A"/>
    <w:rsid w:val="00B24D1C"/>
    <w:rsid w:val="00B30072"/>
    <w:rsid w:val="00B30481"/>
    <w:rsid w:val="00B3312F"/>
    <w:rsid w:val="00B353EB"/>
    <w:rsid w:val="00B4016F"/>
    <w:rsid w:val="00B407AC"/>
    <w:rsid w:val="00B409DB"/>
    <w:rsid w:val="00B4196A"/>
    <w:rsid w:val="00B439C4"/>
    <w:rsid w:val="00B4535E"/>
    <w:rsid w:val="00B500B9"/>
    <w:rsid w:val="00B527A8"/>
    <w:rsid w:val="00B52A8C"/>
    <w:rsid w:val="00B54707"/>
    <w:rsid w:val="00B56155"/>
    <w:rsid w:val="00B62F11"/>
    <w:rsid w:val="00B63042"/>
    <w:rsid w:val="00B636A8"/>
    <w:rsid w:val="00B665C6"/>
    <w:rsid w:val="00B703E3"/>
    <w:rsid w:val="00B718E1"/>
    <w:rsid w:val="00B72AD8"/>
    <w:rsid w:val="00B74441"/>
    <w:rsid w:val="00B758A5"/>
    <w:rsid w:val="00B805AF"/>
    <w:rsid w:val="00B82BD5"/>
    <w:rsid w:val="00B869EC"/>
    <w:rsid w:val="00B92383"/>
    <w:rsid w:val="00B9397A"/>
    <w:rsid w:val="00B9633D"/>
    <w:rsid w:val="00B967D5"/>
    <w:rsid w:val="00BA2EBE"/>
    <w:rsid w:val="00BB07F3"/>
    <w:rsid w:val="00BB0F28"/>
    <w:rsid w:val="00BB1932"/>
    <w:rsid w:val="00BB2A7D"/>
    <w:rsid w:val="00BB35DA"/>
    <w:rsid w:val="00BB458A"/>
    <w:rsid w:val="00BB693F"/>
    <w:rsid w:val="00BB6C11"/>
    <w:rsid w:val="00BC5953"/>
    <w:rsid w:val="00BD00D3"/>
    <w:rsid w:val="00BD01B3"/>
    <w:rsid w:val="00BD0561"/>
    <w:rsid w:val="00BD1659"/>
    <w:rsid w:val="00BD3AA9"/>
    <w:rsid w:val="00BD46F4"/>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3CE2"/>
    <w:rsid w:val="00C34397"/>
    <w:rsid w:val="00C3493F"/>
    <w:rsid w:val="00C36990"/>
    <w:rsid w:val="00C40503"/>
    <w:rsid w:val="00C4095D"/>
    <w:rsid w:val="00C4234A"/>
    <w:rsid w:val="00C47F03"/>
    <w:rsid w:val="00C50A08"/>
    <w:rsid w:val="00C52B5B"/>
    <w:rsid w:val="00C56DAE"/>
    <w:rsid w:val="00C57A9C"/>
    <w:rsid w:val="00C601D2"/>
    <w:rsid w:val="00C65A84"/>
    <w:rsid w:val="00C65BCC"/>
    <w:rsid w:val="00C65DA2"/>
    <w:rsid w:val="00C66970"/>
    <w:rsid w:val="00C71F4D"/>
    <w:rsid w:val="00C85588"/>
    <w:rsid w:val="00C8691C"/>
    <w:rsid w:val="00C86CB4"/>
    <w:rsid w:val="00C95DF2"/>
    <w:rsid w:val="00C96295"/>
    <w:rsid w:val="00C96364"/>
    <w:rsid w:val="00CA03DF"/>
    <w:rsid w:val="00CA168A"/>
    <w:rsid w:val="00CA2097"/>
    <w:rsid w:val="00CA357E"/>
    <w:rsid w:val="00CA44F9"/>
    <w:rsid w:val="00CA4A69"/>
    <w:rsid w:val="00CA4A75"/>
    <w:rsid w:val="00CA5310"/>
    <w:rsid w:val="00CB00BC"/>
    <w:rsid w:val="00CB5335"/>
    <w:rsid w:val="00CB722E"/>
    <w:rsid w:val="00CC123D"/>
    <w:rsid w:val="00CC3E0C"/>
    <w:rsid w:val="00CC58D3"/>
    <w:rsid w:val="00CC5E81"/>
    <w:rsid w:val="00CC75C9"/>
    <w:rsid w:val="00CC784D"/>
    <w:rsid w:val="00CF1640"/>
    <w:rsid w:val="00CF1E15"/>
    <w:rsid w:val="00CF3482"/>
    <w:rsid w:val="00CF50A0"/>
    <w:rsid w:val="00CF6A5C"/>
    <w:rsid w:val="00D00A8D"/>
    <w:rsid w:val="00D03268"/>
    <w:rsid w:val="00D0337B"/>
    <w:rsid w:val="00D07777"/>
    <w:rsid w:val="00D079B2"/>
    <w:rsid w:val="00D114E9"/>
    <w:rsid w:val="00D14ABA"/>
    <w:rsid w:val="00D17CD8"/>
    <w:rsid w:val="00D17EA7"/>
    <w:rsid w:val="00D2527C"/>
    <w:rsid w:val="00D313B3"/>
    <w:rsid w:val="00D35B8E"/>
    <w:rsid w:val="00D4037C"/>
    <w:rsid w:val="00D40F07"/>
    <w:rsid w:val="00D4178D"/>
    <w:rsid w:val="00D429C6"/>
    <w:rsid w:val="00D42C07"/>
    <w:rsid w:val="00D469CE"/>
    <w:rsid w:val="00D47748"/>
    <w:rsid w:val="00D4785A"/>
    <w:rsid w:val="00D5178F"/>
    <w:rsid w:val="00D518DF"/>
    <w:rsid w:val="00D54CC3"/>
    <w:rsid w:val="00D56307"/>
    <w:rsid w:val="00D6041A"/>
    <w:rsid w:val="00D61258"/>
    <w:rsid w:val="00D633EB"/>
    <w:rsid w:val="00D65810"/>
    <w:rsid w:val="00D736AC"/>
    <w:rsid w:val="00D747AA"/>
    <w:rsid w:val="00D75A7E"/>
    <w:rsid w:val="00D76946"/>
    <w:rsid w:val="00D82FF7"/>
    <w:rsid w:val="00D84271"/>
    <w:rsid w:val="00D843DE"/>
    <w:rsid w:val="00D846EB"/>
    <w:rsid w:val="00D847FE"/>
    <w:rsid w:val="00D86B9C"/>
    <w:rsid w:val="00D900CD"/>
    <w:rsid w:val="00D90A39"/>
    <w:rsid w:val="00D91F4F"/>
    <w:rsid w:val="00D95EFF"/>
    <w:rsid w:val="00D964EA"/>
    <w:rsid w:val="00D966D0"/>
    <w:rsid w:val="00DA0C59"/>
    <w:rsid w:val="00DA3991"/>
    <w:rsid w:val="00DA72A1"/>
    <w:rsid w:val="00DA7F95"/>
    <w:rsid w:val="00DB01F1"/>
    <w:rsid w:val="00DB27C5"/>
    <w:rsid w:val="00DB3222"/>
    <w:rsid w:val="00DB7E6C"/>
    <w:rsid w:val="00DC109B"/>
    <w:rsid w:val="00DC2CC6"/>
    <w:rsid w:val="00DC37B6"/>
    <w:rsid w:val="00DC4F68"/>
    <w:rsid w:val="00DC64B0"/>
    <w:rsid w:val="00DC6B1E"/>
    <w:rsid w:val="00DD252A"/>
    <w:rsid w:val="00DD57F8"/>
    <w:rsid w:val="00DD5949"/>
    <w:rsid w:val="00DD5A29"/>
    <w:rsid w:val="00DD5D9D"/>
    <w:rsid w:val="00DE35CB"/>
    <w:rsid w:val="00DE72F6"/>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6F38"/>
    <w:rsid w:val="00E206DE"/>
    <w:rsid w:val="00E21B55"/>
    <w:rsid w:val="00E221D3"/>
    <w:rsid w:val="00E24497"/>
    <w:rsid w:val="00E24EB4"/>
    <w:rsid w:val="00E30635"/>
    <w:rsid w:val="00E320ED"/>
    <w:rsid w:val="00E33AFB"/>
    <w:rsid w:val="00E34218"/>
    <w:rsid w:val="00E4555B"/>
    <w:rsid w:val="00E46282"/>
    <w:rsid w:val="00E5216E"/>
    <w:rsid w:val="00E54D33"/>
    <w:rsid w:val="00E5529C"/>
    <w:rsid w:val="00E6022F"/>
    <w:rsid w:val="00E6098F"/>
    <w:rsid w:val="00E60D72"/>
    <w:rsid w:val="00E657C6"/>
    <w:rsid w:val="00E733B3"/>
    <w:rsid w:val="00E75D40"/>
    <w:rsid w:val="00E772BD"/>
    <w:rsid w:val="00E81965"/>
    <w:rsid w:val="00E81A88"/>
    <w:rsid w:val="00E82344"/>
    <w:rsid w:val="00E84C82"/>
    <w:rsid w:val="00E84D64"/>
    <w:rsid w:val="00E87408"/>
    <w:rsid w:val="00E914C4"/>
    <w:rsid w:val="00E934F5"/>
    <w:rsid w:val="00E96961"/>
    <w:rsid w:val="00EA7048"/>
    <w:rsid w:val="00EA72EC"/>
    <w:rsid w:val="00EB11CB"/>
    <w:rsid w:val="00EB1C71"/>
    <w:rsid w:val="00EB275A"/>
    <w:rsid w:val="00EB3784"/>
    <w:rsid w:val="00EB57CA"/>
    <w:rsid w:val="00EB786A"/>
    <w:rsid w:val="00EC045C"/>
    <w:rsid w:val="00EC1578"/>
    <w:rsid w:val="00EC1BFC"/>
    <w:rsid w:val="00EC1C72"/>
    <w:rsid w:val="00EC3356"/>
    <w:rsid w:val="00EC3CC9"/>
    <w:rsid w:val="00EC5D85"/>
    <w:rsid w:val="00EC6302"/>
    <w:rsid w:val="00EC680A"/>
    <w:rsid w:val="00ED511C"/>
    <w:rsid w:val="00ED7229"/>
    <w:rsid w:val="00EE25CB"/>
    <w:rsid w:val="00EE2BED"/>
    <w:rsid w:val="00EE2E16"/>
    <w:rsid w:val="00EE374B"/>
    <w:rsid w:val="00EE4A87"/>
    <w:rsid w:val="00EF2869"/>
    <w:rsid w:val="00EF446E"/>
    <w:rsid w:val="00EF6DCD"/>
    <w:rsid w:val="00F05D60"/>
    <w:rsid w:val="00F07224"/>
    <w:rsid w:val="00F07FD3"/>
    <w:rsid w:val="00F11BB5"/>
    <w:rsid w:val="00F1296C"/>
    <w:rsid w:val="00F1417B"/>
    <w:rsid w:val="00F1712D"/>
    <w:rsid w:val="00F17A17"/>
    <w:rsid w:val="00F17FD5"/>
    <w:rsid w:val="00F208A0"/>
    <w:rsid w:val="00F2115E"/>
    <w:rsid w:val="00F22165"/>
    <w:rsid w:val="00F23644"/>
    <w:rsid w:val="00F238BE"/>
    <w:rsid w:val="00F27B3D"/>
    <w:rsid w:val="00F30ABD"/>
    <w:rsid w:val="00F34060"/>
    <w:rsid w:val="00F34B99"/>
    <w:rsid w:val="00F373DE"/>
    <w:rsid w:val="00F40B02"/>
    <w:rsid w:val="00F41A87"/>
    <w:rsid w:val="00F41E81"/>
    <w:rsid w:val="00F42228"/>
    <w:rsid w:val="00F42B44"/>
    <w:rsid w:val="00F51720"/>
    <w:rsid w:val="00F51CF2"/>
    <w:rsid w:val="00F52DAB"/>
    <w:rsid w:val="00F543F0"/>
    <w:rsid w:val="00F55E3E"/>
    <w:rsid w:val="00F57601"/>
    <w:rsid w:val="00F57CF9"/>
    <w:rsid w:val="00F66FBE"/>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57E2"/>
    <w:rsid w:val="00FC6358"/>
    <w:rsid w:val="00FC64E5"/>
    <w:rsid w:val="00FD0B70"/>
    <w:rsid w:val="00FD1381"/>
    <w:rsid w:val="00FD196A"/>
    <w:rsid w:val="00FD320D"/>
    <w:rsid w:val="00FD6B9F"/>
    <w:rsid w:val="00FD6DFE"/>
    <w:rsid w:val="00FE1B98"/>
    <w:rsid w:val="00FE23DE"/>
    <w:rsid w:val="00FE49F5"/>
    <w:rsid w:val="00FE5B9C"/>
    <w:rsid w:val="00FE67DC"/>
    <w:rsid w:val="00FF1801"/>
    <w:rsid w:val="00FF3B98"/>
    <w:rsid w:val="00FF6842"/>
    <w:rsid w:val="00FF6CAA"/>
    <w:rsid w:val="19955E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link w:val="153"/>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63"/>
    <w:semiHidden/>
    <w:unhideWhenUsed/>
    <w:qFormat/>
    <w:uiPriority w:val="0"/>
    <w:p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uiPriority w:val="0"/>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51"/>
    <w:unhideWhenUsed/>
    <w:qFormat/>
    <w:uiPriority w:val="0"/>
    <w:pPr>
      <w:ind w:left="100" w:leftChars="2500"/>
    </w:pPr>
  </w:style>
  <w:style w:type="paragraph" w:styleId="16">
    <w:name w:val="endnote text"/>
    <w:basedOn w:val="1"/>
    <w:link w:val="149"/>
    <w:semiHidden/>
    <w:qFormat/>
    <w:uiPriority w:val="0"/>
    <w:pPr>
      <w:snapToGrid w:val="0"/>
      <w:jc w:val="left"/>
    </w:pPr>
  </w:style>
  <w:style w:type="paragraph" w:styleId="17">
    <w:name w:val="Balloon Text"/>
    <w:basedOn w:val="1"/>
    <w:link w:val="143"/>
    <w:qFormat/>
    <w:uiPriority w:val="0"/>
    <w:rPr>
      <w:sz w:val="18"/>
      <w:szCs w:val="18"/>
    </w:rPr>
  </w:style>
  <w:style w:type="paragraph" w:styleId="18">
    <w:name w:val="footer"/>
    <w:basedOn w:val="1"/>
    <w:link w:val="148"/>
    <w:qFormat/>
    <w:uiPriority w:val="0"/>
    <w:pPr>
      <w:snapToGrid w:val="0"/>
      <w:ind w:right="210" w:rightChars="100"/>
      <w:jc w:val="right"/>
    </w:pPr>
    <w:rPr>
      <w:sz w:val="18"/>
      <w:szCs w:val="18"/>
    </w:rPr>
  </w:style>
  <w:style w:type="paragraph" w:styleId="19">
    <w:name w:val="header"/>
    <w:basedOn w:val="1"/>
    <w:link w:val="147"/>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45"/>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154"/>
    <w:semiHidden/>
    <w:unhideWhenUsed/>
    <w:qFormat/>
    <w:uiPriority w:val="0"/>
    <w:rPr>
      <w:b/>
      <w:bCs/>
    </w:rPr>
  </w:style>
  <w:style w:type="paragraph" w:styleId="33">
    <w:name w:val="Body Text First Indent"/>
    <w:basedOn w:val="9"/>
    <w:link w:val="164"/>
    <w:unhideWhenUsed/>
    <w:uiPriority w:val="0"/>
    <w:pPr>
      <w:adjustRightInd w:val="0"/>
      <w:spacing w:after="0"/>
      <w:ind w:firstLine="420"/>
      <w:jc w:val="left"/>
    </w:p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semiHidden/>
    <w:unhideWhenUsed/>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4"/>
    <w:qFormat/>
    <w:uiPriority w:val="0"/>
    <w:rPr>
      <w:rFonts w:ascii="宋体"/>
      <w:sz w:val="21"/>
      <w:lang w:val="en-US" w:eastAsia="zh-CN" w:bidi="ar-SA"/>
    </w:rPr>
  </w:style>
  <w:style w:type="paragraph" w:customStyle="1" w:styleId="44">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4"/>
    <w:qFormat/>
    <w:uiPriority w:val="0"/>
    <w:pPr>
      <w:numPr>
        <w:ilvl w:val="2"/>
      </w:numPr>
      <w:spacing w:before="50" w:after="50"/>
      <w:outlineLvl w:val="3"/>
    </w:pPr>
  </w:style>
  <w:style w:type="paragraph" w:customStyle="1" w:styleId="4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4"/>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4"/>
    <w:qFormat/>
    <w:uiPriority w:val="0"/>
    <w:pPr>
      <w:numPr>
        <w:ilvl w:val="3"/>
      </w:numPr>
      <w:outlineLvl w:val="4"/>
    </w:pPr>
  </w:style>
  <w:style w:type="paragraph" w:customStyle="1" w:styleId="54">
    <w:name w:val="示例"/>
    <w:next w:val="55"/>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4"/>
    <w:qFormat/>
    <w:uiPriority w:val="0"/>
    <w:pPr>
      <w:numPr>
        <w:ilvl w:val="4"/>
      </w:numPr>
      <w:outlineLvl w:val="5"/>
    </w:pPr>
  </w:style>
  <w:style w:type="paragraph" w:customStyle="1" w:styleId="58">
    <w:name w:val="五级条标题"/>
    <w:basedOn w:val="57"/>
    <w:next w:val="24"/>
    <w:qFormat/>
    <w:uiPriority w:val="0"/>
    <w:pPr>
      <w:numPr>
        <w:ilvl w:val="5"/>
      </w:numPr>
      <w:outlineLvl w:val="6"/>
    </w:pPr>
  </w:style>
  <w:style w:type="paragraph" w:customStyle="1" w:styleId="59">
    <w:name w:val="注："/>
    <w:next w:val="24"/>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4"/>
    <w:qFormat/>
    <w:uiPriority w:val="0"/>
    <w:pPr>
      <w:numPr>
        <w:numId w:val="9"/>
      </w:numPr>
      <w:ind w:left="726" w:hanging="363"/>
    </w:pPr>
  </w:style>
  <w:style w:type="paragraph" w:customStyle="1" w:styleId="6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4"/>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spacing w:before="370" w:line="400" w:lineRule="exact"/>
    </w:pPr>
    <w:rPr>
      <w:rFonts w:ascii="Times New Roman"/>
      <w:sz w:val="28"/>
      <w:szCs w:val="28"/>
    </w:rPr>
  </w:style>
  <w:style w:type="paragraph" w:customStyle="1" w:styleId="82">
    <w:name w:val="封面一致性程度标识"/>
    <w:basedOn w:val="81"/>
    <w:qFormat/>
    <w:uiPriority w:val="0"/>
    <w:pPr>
      <w:framePr/>
      <w:spacing w:before="440"/>
    </w:pPr>
    <w:rPr>
      <w:rFonts w:ascii="宋体" w:eastAsia="宋体"/>
    </w:rPr>
  </w:style>
  <w:style w:type="paragraph" w:customStyle="1" w:styleId="83">
    <w:name w:val="封面标准文稿类别"/>
    <w:basedOn w:val="82"/>
    <w:qFormat/>
    <w:uiPriority w:val="0"/>
    <w:pPr>
      <w:framePr/>
      <w:spacing w:after="160" w:line="240" w:lineRule="auto"/>
    </w:pPr>
    <w:rPr>
      <w:sz w:val="24"/>
    </w:rPr>
  </w:style>
  <w:style w:type="paragraph" w:customStyle="1" w:styleId="84">
    <w:name w:val="封面标准文稿编辑信息"/>
    <w:basedOn w:val="83"/>
    <w:qFormat/>
    <w:uiPriority w:val="0"/>
    <w:pPr>
      <w:frame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4"/>
    <w:next w:val="24"/>
    <w:qFormat/>
    <w:uiPriority w:val="0"/>
    <w:pPr>
      <w:ind w:firstLine="0" w:firstLineChars="0"/>
      <w:jc w:val="center"/>
    </w:pPr>
    <w:rPr>
      <w:rFonts w:ascii="黑体" w:eastAsia="黑体"/>
    </w:rPr>
  </w:style>
  <w:style w:type="paragraph" w:customStyle="1" w:styleId="88">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9">
    <w:name w:val="附录表标题"/>
    <w:basedOn w:val="1"/>
    <w:next w:val="2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uiPriority w:val="0"/>
    <w:pPr>
      <w:tabs>
        <w:tab w:val="clear" w:pos="360"/>
      </w:tabs>
      <w:spacing w:beforeLines="0" w:afterLines="0"/>
    </w:pPr>
    <w:rPr>
      <w:rFonts w:ascii="宋体" w:eastAsia="宋体"/>
      <w:szCs w:val="21"/>
    </w:rPr>
  </w:style>
  <w:style w:type="paragraph" w:customStyle="1" w:styleId="92">
    <w:name w:val="附录公式"/>
    <w:basedOn w:val="24"/>
    <w:next w:val="24"/>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4"/>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8">
    <w:name w:val="附录四级条标题"/>
    <w:basedOn w:val="95"/>
    <w:next w:val="24"/>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1">
    <w:name w:val="附录图标题"/>
    <w:basedOn w:val="1"/>
    <w:next w:val="2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4"/>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4"/>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4"/>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y="15310"/>
      <w:spacing w:line="0" w:lineRule="atLeast"/>
    </w:pPr>
    <w:rPr>
      <w:rFonts w:ascii="黑体" w:eastAsia="黑体"/>
      <w:b w:val="0"/>
    </w:rPr>
  </w:style>
  <w:style w:type="paragraph" w:customStyle="1" w:styleId="114">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7">
    <w:name w:val="示例后文字"/>
    <w:basedOn w:val="24"/>
    <w:next w:val="24"/>
    <w:qFormat/>
    <w:uiPriority w:val="0"/>
    <w:pPr>
      <w:ind w:firstLine="360"/>
    </w:pPr>
    <w:rPr>
      <w:sz w:val="18"/>
    </w:rPr>
  </w:style>
  <w:style w:type="paragraph" w:customStyle="1" w:styleId="118">
    <w:name w:val="首示例"/>
    <w:next w:val="24"/>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uiPriority w:val="0"/>
    <w:rPr>
      <w:rFonts w:ascii="宋体" w:hAnsi="宋体"/>
      <w:kern w:val="2"/>
      <w:sz w:val="18"/>
      <w:szCs w:val="18"/>
    </w:rPr>
  </w:style>
  <w:style w:type="paragraph" w:customStyle="1" w:styleId="120">
    <w:name w:val="四级无"/>
    <w:basedOn w:val="57"/>
    <w:uiPriority w:val="0"/>
    <w:pPr>
      <w:spacing w:beforeLines="0" w:afterLines="0"/>
    </w:pPr>
    <w:rPr>
      <w:rFonts w:ascii="宋体" w:eastAsia="宋体"/>
    </w:rPr>
  </w:style>
  <w:style w:type="paragraph" w:customStyle="1" w:styleId="121">
    <w:name w:val="条文脚注"/>
    <w:basedOn w:val="25"/>
    <w:qFormat/>
    <w:uiPriority w:val="0"/>
    <w:pPr>
      <w:numPr>
        <w:numId w:val="0"/>
      </w:numPr>
      <w:jc w:val="both"/>
    </w:pPr>
  </w:style>
  <w:style w:type="paragraph" w:customStyle="1" w:styleId="122">
    <w:name w:val="图标脚注说明"/>
    <w:basedOn w:val="24"/>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uiPriority w:val="0"/>
    <w:pPr>
      <w:spacing w:beforeLines="0" w:afterLines="0"/>
    </w:pPr>
    <w:rPr>
      <w:rFonts w:ascii="宋体" w:eastAsia="宋体"/>
    </w:rPr>
  </w:style>
  <w:style w:type="paragraph" w:customStyle="1" w:styleId="128">
    <w:name w:val="正文表标题"/>
    <w:next w:val="2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正文图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3">
    <w:name w:val="其他实施日期"/>
    <w:basedOn w:val="116"/>
    <w:qFormat/>
    <w:uiPriority w:val="0"/>
    <w:pPr>
      <w:framePr/>
    </w:pPr>
  </w:style>
  <w:style w:type="paragraph" w:customStyle="1" w:styleId="134">
    <w:name w:val="封面标准名称2"/>
    <w:basedOn w:val="80"/>
    <w:qFormat/>
    <w:uiPriority w:val="0"/>
    <w:pPr>
      <w:framePr w:y="4469"/>
      <w:spacing w:beforeLines="630"/>
    </w:pPr>
  </w:style>
  <w:style w:type="paragraph" w:customStyle="1" w:styleId="135">
    <w:name w:val="封面标准英文名称2"/>
    <w:basedOn w:val="81"/>
    <w:qFormat/>
    <w:uiPriority w:val="0"/>
    <w:pPr>
      <w:framePr w:y="4469"/>
    </w:pPr>
  </w:style>
  <w:style w:type="paragraph" w:customStyle="1" w:styleId="136">
    <w:name w:val="封面一致性程度标识2"/>
    <w:basedOn w:val="82"/>
    <w:qFormat/>
    <w:uiPriority w:val="0"/>
    <w:pPr>
      <w:framePr w:y="4469"/>
    </w:pPr>
  </w:style>
  <w:style w:type="paragraph" w:customStyle="1" w:styleId="137">
    <w:name w:val="封面标准文稿类别2"/>
    <w:basedOn w:val="83"/>
    <w:qFormat/>
    <w:uiPriority w:val="0"/>
    <w:pPr>
      <w:framePr w:y="4469"/>
    </w:pPr>
  </w:style>
  <w:style w:type="paragraph" w:customStyle="1" w:styleId="138">
    <w:name w:val="封面标准文稿编辑信息2"/>
    <w:basedOn w:val="84"/>
    <w:qFormat/>
    <w:uiPriority w:val="0"/>
    <w:pPr>
      <w:framePr w:y="4469"/>
    </w:pPr>
  </w:style>
  <w:style w:type="paragraph" w:customStyle="1" w:styleId="139">
    <w:name w:val="标准名称"/>
    <w:basedOn w:val="52"/>
    <w:link w:val="142"/>
    <w:qFormat/>
    <w:uiPriority w:val="0"/>
  </w:style>
  <w:style w:type="character" w:styleId="140">
    <w:name w:val="Placeholder Text"/>
    <w:basedOn w:val="36"/>
    <w:semiHidden/>
    <w:qFormat/>
    <w:uiPriority w:val="99"/>
    <w:rPr>
      <w:color w:val="808080"/>
    </w:rPr>
  </w:style>
  <w:style w:type="character" w:customStyle="1" w:styleId="141">
    <w:name w:val="目次、标准名称标题 Char"/>
    <w:basedOn w:val="36"/>
    <w:link w:val="52"/>
    <w:qFormat/>
    <w:uiPriority w:val="0"/>
    <w:rPr>
      <w:rFonts w:ascii="黑体" w:eastAsia="黑体"/>
      <w:sz w:val="32"/>
      <w:shd w:val="clear" w:color="FFFFFF" w:fill="FFFFFF"/>
    </w:rPr>
  </w:style>
  <w:style w:type="character" w:customStyle="1" w:styleId="142">
    <w:name w:val="标准名称 Char"/>
    <w:basedOn w:val="141"/>
    <w:link w:val="139"/>
    <w:uiPriority w:val="0"/>
    <w:rPr>
      <w:rFonts w:ascii="黑体" w:eastAsia="黑体"/>
      <w:sz w:val="32"/>
      <w:shd w:val="clear" w:color="FFFFFF" w:fill="FFFFFF"/>
    </w:rPr>
  </w:style>
  <w:style w:type="character" w:customStyle="1" w:styleId="143">
    <w:name w:val="批注框文本 字符"/>
    <w:basedOn w:val="36"/>
    <w:link w:val="17"/>
    <w:qFormat/>
    <w:uiPriority w:val="0"/>
    <w:rPr>
      <w:kern w:val="2"/>
      <w:sz w:val="18"/>
      <w:szCs w:val="18"/>
    </w:rPr>
  </w:style>
  <w:style w:type="paragraph" w:customStyle="1" w:styleId="144">
    <w:name w:val="msonormal"/>
    <w:basedOn w:val="1"/>
    <w:uiPriority w:val="0"/>
    <w:pPr>
      <w:widowControl/>
      <w:spacing w:before="100" w:beforeAutospacing="1" w:after="100" w:afterAutospacing="1"/>
      <w:jc w:val="left"/>
    </w:pPr>
    <w:rPr>
      <w:rFonts w:ascii="宋体" w:hAnsi="宋体" w:cs="宋体"/>
      <w:kern w:val="0"/>
      <w:sz w:val="24"/>
    </w:rPr>
  </w:style>
  <w:style w:type="character" w:customStyle="1" w:styleId="145">
    <w:name w:val="脚注文本 字符"/>
    <w:basedOn w:val="36"/>
    <w:link w:val="25"/>
    <w:qFormat/>
    <w:uiPriority w:val="0"/>
    <w:rPr>
      <w:rFonts w:ascii="宋体"/>
      <w:kern w:val="2"/>
      <w:sz w:val="18"/>
      <w:szCs w:val="18"/>
    </w:rPr>
  </w:style>
  <w:style w:type="character" w:customStyle="1" w:styleId="146">
    <w:name w:val="批注文字 字符"/>
    <w:basedOn w:val="36"/>
    <w:link w:val="7"/>
    <w:semiHidden/>
    <w:qFormat/>
    <w:uiPriority w:val="0"/>
    <w:rPr>
      <w:kern w:val="2"/>
      <w:sz w:val="21"/>
      <w:szCs w:val="24"/>
    </w:rPr>
  </w:style>
  <w:style w:type="character" w:customStyle="1" w:styleId="147">
    <w:name w:val="页眉 字符"/>
    <w:basedOn w:val="36"/>
    <w:link w:val="19"/>
    <w:qFormat/>
    <w:uiPriority w:val="0"/>
    <w:rPr>
      <w:kern w:val="2"/>
      <w:sz w:val="18"/>
      <w:szCs w:val="18"/>
    </w:rPr>
  </w:style>
  <w:style w:type="character" w:customStyle="1" w:styleId="148">
    <w:name w:val="页脚 字符"/>
    <w:basedOn w:val="36"/>
    <w:link w:val="18"/>
    <w:qFormat/>
    <w:uiPriority w:val="0"/>
    <w:rPr>
      <w:kern w:val="2"/>
      <w:sz w:val="18"/>
      <w:szCs w:val="18"/>
    </w:rPr>
  </w:style>
  <w:style w:type="character" w:customStyle="1" w:styleId="149">
    <w:name w:val="尾注文本 字符"/>
    <w:basedOn w:val="36"/>
    <w:link w:val="16"/>
    <w:semiHidden/>
    <w:uiPriority w:val="0"/>
    <w:rPr>
      <w:kern w:val="2"/>
      <w:sz w:val="21"/>
      <w:szCs w:val="24"/>
    </w:rPr>
  </w:style>
  <w:style w:type="character" w:customStyle="1" w:styleId="150">
    <w:name w:val="正文文本 字符"/>
    <w:basedOn w:val="36"/>
    <w:semiHidden/>
    <w:qFormat/>
    <w:uiPriority w:val="0"/>
    <w:rPr>
      <w:kern w:val="2"/>
      <w:sz w:val="21"/>
      <w:szCs w:val="24"/>
    </w:rPr>
  </w:style>
  <w:style w:type="character" w:customStyle="1" w:styleId="151">
    <w:name w:val="日期 字符"/>
    <w:basedOn w:val="36"/>
    <w:link w:val="15"/>
    <w:qFormat/>
    <w:uiPriority w:val="0"/>
    <w:rPr>
      <w:kern w:val="2"/>
      <w:sz w:val="21"/>
      <w:szCs w:val="24"/>
    </w:rPr>
  </w:style>
  <w:style w:type="character" w:customStyle="1" w:styleId="152">
    <w:name w:val="正文首行缩进 字符"/>
    <w:basedOn w:val="150"/>
    <w:uiPriority w:val="0"/>
    <w:rPr>
      <w:kern w:val="2"/>
      <w:sz w:val="21"/>
      <w:szCs w:val="24"/>
    </w:rPr>
  </w:style>
  <w:style w:type="character" w:customStyle="1" w:styleId="153">
    <w:name w:val="文档结构图 字符"/>
    <w:basedOn w:val="36"/>
    <w:link w:val="6"/>
    <w:semiHidden/>
    <w:qFormat/>
    <w:uiPriority w:val="0"/>
    <w:rPr>
      <w:kern w:val="2"/>
      <w:sz w:val="21"/>
      <w:szCs w:val="24"/>
      <w:shd w:val="clear" w:color="auto" w:fill="000080"/>
    </w:rPr>
  </w:style>
  <w:style w:type="character" w:customStyle="1" w:styleId="154">
    <w:name w:val="批注主题 字符"/>
    <w:basedOn w:val="146"/>
    <w:link w:val="32"/>
    <w:semiHidden/>
    <w:qFormat/>
    <w:uiPriority w:val="0"/>
    <w:rPr>
      <w:b/>
      <w:bCs/>
      <w:kern w:val="2"/>
      <w:sz w:val="21"/>
      <w:szCs w:val="24"/>
    </w:rPr>
  </w:style>
  <w:style w:type="paragraph" w:customStyle="1" w:styleId="155">
    <w:name w:val="Table Paragraph"/>
    <w:basedOn w:val="1"/>
    <w:qFormat/>
    <w:uiPriority w:val="1"/>
    <w:pPr>
      <w:spacing w:line="236" w:lineRule="exact"/>
      <w:ind w:left="105"/>
    </w:pPr>
    <w:rPr>
      <w:rFonts w:ascii="Arial" w:hAnsi="Arial"/>
      <w:sz w:val="24"/>
    </w:rPr>
  </w:style>
  <w:style w:type="paragraph" w:customStyle="1" w:styleId="156">
    <w:name w:val="Texte1"/>
    <w:qFormat/>
    <w:uiPriority w:val="0"/>
    <w:pPr>
      <w:spacing w:before="60" w:after="240"/>
      <w:jc w:val="both"/>
    </w:pPr>
    <w:rPr>
      <w:rFonts w:ascii="Arial" w:hAnsi="Arial" w:eastAsia="Times New Roman" w:cs="Times New Roman"/>
      <w:lang w:val="en-US" w:eastAsia="en-US" w:bidi="ar-SA"/>
    </w:rPr>
  </w:style>
  <w:style w:type="paragraph" w:customStyle="1" w:styleId="157">
    <w:name w:val="Texte1-Figure"/>
    <w:basedOn w:val="156"/>
    <w:qFormat/>
    <w:uiPriority w:val="0"/>
    <w:pPr>
      <w:jc w:val="center"/>
    </w:pPr>
  </w:style>
  <w:style w:type="paragraph" w:customStyle="1" w:styleId="158">
    <w:name w:val="正文1"/>
    <w:qFormat/>
    <w:uiPriority w:val="0"/>
    <w:pPr>
      <w:spacing w:line="276" w:lineRule="auto"/>
    </w:pPr>
    <w:rPr>
      <w:rFonts w:ascii="Arial" w:hAnsi="Arial" w:eastAsia="宋体" w:cs="Arial"/>
      <w:sz w:val="22"/>
      <w:szCs w:val="22"/>
      <w:lang w:val="en-US" w:eastAsia="zh-CN" w:bidi="ar-SA"/>
    </w:rPr>
  </w:style>
  <w:style w:type="character" w:customStyle="1" w:styleId="159">
    <w:name w:val="批注主题 字符1"/>
    <w:locked/>
    <w:uiPriority w:val="0"/>
    <w:rPr>
      <w:b/>
      <w:bCs/>
      <w:kern w:val="2"/>
      <w:sz w:val="21"/>
      <w:szCs w:val="24"/>
    </w:rPr>
  </w:style>
  <w:style w:type="character" w:customStyle="1" w:styleId="160">
    <w:name w:val="批注文字 字符1"/>
    <w:qFormat/>
    <w:locked/>
    <w:uiPriority w:val="0"/>
    <w:rPr>
      <w:kern w:val="2"/>
      <w:sz w:val="21"/>
      <w:szCs w:val="24"/>
    </w:rPr>
  </w:style>
  <w:style w:type="character" w:customStyle="1" w:styleId="161">
    <w:name w:val="批注框文本 Char"/>
    <w:qFormat/>
    <w:uiPriority w:val="0"/>
    <w:rPr>
      <w:kern w:val="2"/>
      <w:sz w:val="18"/>
      <w:szCs w:val="18"/>
    </w:rPr>
  </w:style>
  <w:style w:type="character" w:customStyle="1" w:styleId="162">
    <w:name w:val="日期 字符1"/>
    <w:locked/>
    <w:uiPriority w:val="0"/>
    <w:rPr>
      <w:kern w:val="2"/>
      <w:sz w:val="21"/>
      <w:szCs w:val="24"/>
    </w:rPr>
  </w:style>
  <w:style w:type="character" w:customStyle="1" w:styleId="163">
    <w:name w:val="正文文本 字符1"/>
    <w:link w:val="9"/>
    <w:semiHidden/>
    <w:qFormat/>
    <w:locked/>
    <w:uiPriority w:val="0"/>
    <w:rPr>
      <w:kern w:val="2"/>
      <w:sz w:val="21"/>
      <w:szCs w:val="24"/>
    </w:rPr>
  </w:style>
  <w:style w:type="character" w:customStyle="1" w:styleId="164">
    <w:name w:val="正文首行缩进 字符1"/>
    <w:basedOn w:val="163"/>
    <w:link w:val="33"/>
    <w:qFormat/>
    <w:locked/>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109E0"/>
    <w:rsid w:val="0002647A"/>
    <w:rsid w:val="0002653F"/>
    <w:rsid w:val="00080DE3"/>
    <w:rsid w:val="00087E40"/>
    <w:rsid w:val="000C73CF"/>
    <w:rsid w:val="001132F9"/>
    <w:rsid w:val="00114ABC"/>
    <w:rsid w:val="001C16E0"/>
    <w:rsid w:val="002068C7"/>
    <w:rsid w:val="002F584E"/>
    <w:rsid w:val="00301966"/>
    <w:rsid w:val="00301A44"/>
    <w:rsid w:val="00323E80"/>
    <w:rsid w:val="003372E5"/>
    <w:rsid w:val="003750AF"/>
    <w:rsid w:val="00430F92"/>
    <w:rsid w:val="004F113A"/>
    <w:rsid w:val="004F1EC5"/>
    <w:rsid w:val="00515A81"/>
    <w:rsid w:val="005335DD"/>
    <w:rsid w:val="00595E09"/>
    <w:rsid w:val="00674FBA"/>
    <w:rsid w:val="006D02E4"/>
    <w:rsid w:val="007129B6"/>
    <w:rsid w:val="007216E9"/>
    <w:rsid w:val="0072752F"/>
    <w:rsid w:val="007376B7"/>
    <w:rsid w:val="00747931"/>
    <w:rsid w:val="0077690F"/>
    <w:rsid w:val="007C6ACB"/>
    <w:rsid w:val="007E2797"/>
    <w:rsid w:val="00800293"/>
    <w:rsid w:val="00820E7E"/>
    <w:rsid w:val="00860E77"/>
    <w:rsid w:val="008E024D"/>
    <w:rsid w:val="008F0268"/>
    <w:rsid w:val="008F1E13"/>
    <w:rsid w:val="00902EF8"/>
    <w:rsid w:val="00936351"/>
    <w:rsid w:val="00982DAC"/>
    <w:rsid w:val="00984D73"/>
    <w:rsid w:val="009B16B1"/>
    <w:rsid w:val="00A94E45"/>
    <w:rsid w:val="00AB2071"/>
    <w:rsid w:val="00AD6808"/>
    <w:rsid w:val="00B17BCE"/>
    <w:rsid w:val="00B717AC"/>
    <w:rsid w:val="00BC67AA"/>
    <w:rsid w:val="00BE7B9E"/>
    <w:rsid w:val="00C1358A"/>
    <w:rsid w:val="00C875D2"/>
    <w:rsid w:val="00CB0B2B"/>
    <w:rsid w:val="00D4454B"/>
    <w:rsid w:val="00D65DD7"/>
    <w:rsid w:val="00DA4409"/>
    <w:rsid w:val="00E60F64"/>
    <w:rsid w:val="00E95A08"/>
    <w:rsid w:val="00EA15BD"/>
    <w:rsid w:val="00EA32AC"/>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paragraph" w:customStyle="1" w:styleId="7">
    <w:name w:val="1112"/>
    <w:uiPriority w:val="0"/>
    <w:pPr>
      <w:keepNext/>
      <w:pageBreakBefore/>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25B7D-5BB8-454E-815F-1467AEC5E03C}">
  <ds:schemaRefs/>
</ds:datastoreItem>
</file>

<file path=docProps/app.xml><?xml version="1.0" encoding="utf-8"?>
<Properties xmlns="http://schemas.openxmlformats.org/officeDocument/2006/extended-properties" xmlns:vt="http://schemas.openxmlformats.org/officeDocument/2006/docPropsVTypes">
  <Template>深冷空分装置安全技术规范（征求意见稿）.docx</Template>
  <Company>zle</Company>
  <Pages>44</Pages>
  <Words>5667</Words>
  <Characters>32306</Characters>
  <Lines>269</Lines>
  <Paragraphs>75</Paragraphs>
  <TotalTime>28</TotalTime>
  <ScaleCrop>false</ScaleCrop>
  <LinksUpToDate>false</LinksUpToDate>
  <CharactersWithSpaces>37898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2020-11-09T01:07:00Z</dcterms:created>
  <dc:creator>CNIS</dc:creator>
  <cp:lastModifiedBy>tyrone</cp:lastModifiedBy>
  <cp:lastPrinted>2020-11-23T06:19:42Z</cp:lastPrinted>
  <dcterms:modified xsi:type="dcterms:W3CDTF">2020-11-23T07:38:58Z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