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adjustRightInd w:val="0"/>
        <w:snapToGrid w:val="0"/>
        <w:rPr>
          <w:color w:val="000000"/>
          <w:szCs w:val="24"/>
        </w:rPr>
      </w:pPr>
      <w:bookmarkStart w:id="16" w:name="_GoBack"/>
      <w:bookmarkEnd w:id="16"/>
      <w:r>
        <w:rPr>
          <w:color w:val="000000"/>
          <w:szCs w:val="24"/>
        </w:rPr>
        <w:t>ICS</w:t>
      </w:r>
      <w:r>
        <w:rPr>
          <w:rFonts w:hint="eastAsia"/>
          <w:color w:val="000000"/>
          <w:szCs w:val="24"/>
        </w:rPr>
        <w:t xml:space="preserve"> 73.010</w:t>
      </w:r>
    </w:p>
    <w:p>
      <w:pPr>
        <w:pStyle w:val="17"/>
        <w:adjustRightInd w:val="0"/>
        <w:snapToGrid w:val="0"/>
        <w:rPr>
          <w:color w:val="000000"/>
          <w:szCs w:val="24"/>
        </w:rPr>
      </w:pPr>
      <w:r>
        <w:rPr>
          <w:color w:val="000000"/>
          <w:szCs w:val="24"/>
        </w:rPr>
        <w:t xml:space="preserve">D </w:t>
      </w:r>
      <w:r>
        <w:rPr>
          <w:rFonts w:hint="eastAsia"/>
          <w:color w:val="000000"/>
          <w:szCs w:val="24"/>
        </w:rPr>
        <w:t>09</w:t>
      </w:r>
    </w:p>
    <w:p>
      <w:pPr>
        <w:adjustRightInd w:val="0"/>
        <w:snapToGrid w:val="0"/>
        <w:rPr>
          <w:rFonts w:eastAsia="仿宋_GB2312"/>
          <w:color w:val="000000"/>
          <w:sz w:val="28"/>
          <w:szCs w:val="28"/>
        </w:rPr>
      </w:pPr>
      <w:r>
        <w:rPr>
          <w:rFonts w:eastAsia="黑体"/>
          <w:color w:val="000000"/>
          <w:szCs w:val="28"/>
        </w:rPr>
        <w:t>备案号</w:t>
      </w:r>
      <w:r>
        <w:rPr>
          <w:rFonts w:eastAsia="仿宋_GB2312"/>
          <w:color w:val="000000"/>
          <w:sz w:val="28"/>
          <w:szCs w:val="28"/>
        </w:rPr>
        <w:t>：</w:t>
      </w:r>
    </w:p>
    <w:p>
      <w:pPr>
        <w:pStyle w:val="4"/>
        <w:tabs>
          <w:tab w:val="clear" w:pos="1440"/>
        </w:tabs>
        <w:adjustRightInd w:val="0"/>
        <w:snapToGrid w:val="0"/>
        <w:rPr>
          <w:rFonts w:ascii="Times New Roman" w:hAnsi="Times New Roman"/>
          <w:color w:val="000000"/>
          <w:sz w:val="100"/>
        </w:rPr>
      </w:pPr>
      <w:r>
        <w:rPr>
          <w:rFonts w:ascii="Times New Roman" w:hAnsi="Times New Roman"/>
          <w:color w:val="000000"/>
          <w:sz w:val="100"/>
        </w:rPr>
        <w:t>AQ</w:t>
      </w:r>
    </w:p>
    <w:p>
      <w:pPr>
        <w:adjustRightInd w:val="0"/>
        <w:snapToGrid w:val="0"/>
        <w:jc w:val="center"/>
        <w:rPr>
          <w:rFonts w:eastAsia="黑体"/>
          <w:color w:val="000000"/>
          <w:sz w:val="60"/>
          <w:szCs w:val="28"/>
        </w:rPr>
      </w:pPr>
      <w:r>
        <w:rPr>
          <w:rFonts w:eastAsia="黑体"/>
          <w:color w:val="000000"/>
          <w:sz w:val="60"/>
          <w:szCs w:val="28"/>
        </w:rPr>
        <w:t>中华人民共和国安全生产行业标准</w:t>
      </w: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jc w:val="right"/>
        <w:rPr>
          <w:rFonts w:eastAsia="仿宋_GB2312"/>
          <w:color w:val="000000"/>
          <w:sz w:val="28"/>
          <w:szCs w:val="28"/>
        </w:rPr>
      </w:pPr>
      <w:r>
        <w:rPr>
          <w:rFonts w:eastAsia="仿宋_GB2312"/>
          <w:color w:val="000000"/>
          <w:sz w:val="28"/>
          <w:szCs w:val="28"/>
        </w:rPr>
        <w:t xml:space="preserve">                                              AQ</w:t>
      </w:r>
      <w:r>
        <w:rPr>
          <w:rFonts w:hint="eastAsia" w:eastAsia="仿宋_GB2312"/>
          <w:color w:val="000000"/>
          <w:sz w:val="28"/>
          <w:szCs w:val="28"/>
        </w:rPr>
        <w:t>/T</w:t>
      </w:r>
      <w:r>
        <w:rPr>
          <w:rFonts w:eastAsia="仿宋_GB2312"/>
          <w:color w:val="000000"/>
          <w:sz w:val="24"/>
          <w:szCs w:val="28"/>
        </w:rPr>
        <w:t>××××</w:t>
      </w:r>
      <w:r>
        <w:rPr>
          <w:rFonts w:eastAsia="仿宋_GB2312"/>
          <w:color w:val="000000"/>
          <w:sz w:val="28"/>
          <w:szCs w:val="28"/>
        </w:rPr>
        <w:t>-20</w:t>
      </w:r>
      <w:r>
        <w:rPr>
          <w:rFonts w:hint="eastAsia" w:eastAsia="仿宋_GB2312"/>
          <w:color w:val="000000"/>
          <w:sz w:val="28"/>
          <w:szCs w:val="28"/>
        </w:rPr>
        <w:t>20</w:t>
      </w:r>
    </w:p>
    <w:p>
      <w:pPr>
        <w:adjustRightInd w:val="0"/>
        <w:snapToGrid w:val="0"/>
        <w:rPr>
          <w:rFonts w:eastAsia="仿宋_GB2312"/>
          <w:color w:val="000000"/>
          <w:sz w:val="28"/>
          <w:szCs w:val="28"/>
        </w:rPr>
      </w:pPr>
      <w:r>
        <w:rPr>
          <w:rFonts w:eastAsia="仿宋_GB2312"/>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62230</wp:posOffset>
                </wp:positionV>
                <wp:extent cx="5896610" cy="0"/>
                <wp:effectExtent l="9525" t="14605" r="8890" b="13970"/>
                <wp:wrapNone/>
                <wp:docPr id="2" name="直线 2"/>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12700">
                          <a:solidFill>
                            <a:srgbClr val="000000"/>
                          </a:solidFill>
                          <a:round/>
                        </a:ln>
                      </wps:spPr>
                      <wps:bodyPr/>
                    </wps:wsp>
                  </a:graphicData>
                </a:graphic>
              </wp:anchor>
            </w:drawing>
          </mc:Choice>
          <mc:Fallback>
            <w:pict>
              <v:line id="直线 2" o:spid="_x0000_s1026" o:spt="20" style="position:absolute;left:0pt;margin-left:0pt;margin-top:4.9pt;height:0pt;width:464.3pt;z-index:251657216;mso-width-relative:page;mso-height-relative:page;" filled="f" stroked="t" coordsize="21600,21600" o:gfxdata="UEsFBgAAAAAAAAAAAAAAAAAAAAAAAFBLAwQKAAAAAACHTuJAAAAAAAAAAAAAAAAABAAAAGRycy9Q&#10;SwMEFAAAAAgAh07iQKanFSPTAAAABAEAAA8AAABkcnMvZG93bnJldi54bWxNj81OwzAQhO9IvIO1&#10;SNyo0xxKGuL0AKoqEJe2SFy38RIH4nUauz+8PQsXehzNaOabanH2vTrSGLvABqaTDBRxE2zHrYG3&#10;7fKuABUTssU+MBn4pgiL+vqqwtKGE6/puEmtkhKOJRpwKQ2l1rFx5DFOwkAs3kcYPSaRY6vtiCcp&#10;973Os2ymPXYsCw4HenTUfG0O3gA+rdbpvchf7rtn9/q5Xe5Xrtgbc3szzR5AJTqn/zD84gs61MK0&#10;Cwe2UfUG5EgyMBd8Med5MQO1+9O6rvQlfP0DUEsDBBQAAAAIAIdO4kCL73tsvAEAAFQDAAAOAAAA&#10;ZHJzL2Uyb0RvYy54bWytU0tu2zAQ3RfoHQjua8kC6qaC5SwcpJu0NZDkAGOKkoiSHIKkLfksvUZX&#10;3fQ4uUaH9KdpuwuiBaHhzDy+94ZcXk9Gs730QaFt+HxWciatwFbZvuGPD7fvrjgLEWwLGq1s+EEG&#10;fr16+2Y5ulpWOKBupWcEYkM9uoYPMbq6KIIYpIEwQyctJTv0BiKFvi9aDyOhG11UZbkoRvSt8yhk&#10;CLR7c0zyVcbvOini164LMjLdcOIW8+rzuk1rsVpC3XtwgxInGvACFgaUpUMvUDcQge28+g/KKOEx&#10;YBdnAk2BXaeEzBpIzbz8R839AE5mLWROcBebwuvBii/7jWeqbXjFmQVDI3r6/uPp5y9WJW9GF2oq&#10;WduNT+rEZO/dHYpvgVlcD2B7mTk+HBw1zlNH8VdLCoKjE7bjZ2ypBnYRs1FT502CJAvYlOdxuMxD&#10;TpEJ2nx/9XGxmNPYxDlXQH1udD7ETxINSz8N18omq6CG/V2IiQjU55K0bfFWaZ3HrS0biW31oSxz&#10;R0Ct2pRNdcH327X2bA/pxuQvy6LM8zKPO9seT9H2pDoJPVq2xfaw8Wc3aHSZzumapbvxPM7dfx7D&#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mpxUj0wAAAAQBAAAPAAAAAAAAAAEAIAAAADgAAABk&#10;cnMvZG93bnJldi54bWxQSwECFAAUAAAACACHTuJAi+97bLwBAABUAwAADgAAAAAAAAABACAAAAA4&#10;AQAAZHJzL2Uyb0RvYy54bWxQSwUGAAAAAAYABgBZAQAAZgUAAAAA&#10;">
                <v:fill on="f" focussize="0,0"/>
                <v:stroke weight="1pt" color="#000000" joinstyle="round"/>
                <v:imagedata o:title=""/>
                <o:lock v:ext="edit" aspectratio="f"/>
              </v:line>
            </w:pict>
          </mc:Fallback>
        </mc:AlternateContent>
      </w:r>
    </w:p>
    <w:p>
      <w:pPr>
        <w:adjustRightInd w:val="0"/>
        <w:snapToGrid w:val="0"/>
        <w:rPr>
          <w:rFonts w:eastAsia="仿宋_GB2312"/>
          <w:color w:val="000000"/>
          <w:sz w:val="28"/>
          <w:szCs w:val="28"/>
        </w:rPr>
      </w:pPr>
    </w:p>
    <w:p>
      <w:pPr>
        <w:adjustRightInd w:val="0"/>
        <w:snapToGrid w:val="0"/>
        <w:rPr>
          <w:rFonts w:eastAsia="仿宋_GB2312"/>
          <w:color w:val="000000"/>
          <w:sz w:val="28"/>
          <w:szCs w:val="28"/>
        </w:rPr>
      </w:pPr>
    </w:p>
    <w:p>
      <w:pPr>
        <w:adjustRightInd w:val="0"/>
        <w:snapToGrid w:val="0"/>
        <w:jc w:val="center"/>
        <w:rPr>
          <w:rFonts w:eastAsia="黑体"/>
          <w:b/>
          <w:color w:val="000000"/>
          <w:sz w:val="44"/>
          <w:szCs w:val="44"/>
        </w:rPr>
      </w:pPr>
    </w:p>
    <w:p>
      <w:pPr>
        <w:adjustRightInd w:val="0"/>
        <w:snapToGrid w:val="0"/>
        <w:jc w:val="center"/>
        <w:rPr>
          <w:rFonts w:eastAsia="黑体"/>
          <w:bCs/>
          <w:sz w:val="44"/>
          <w:szCs w:val="44"/>
        </w:rPr>
      </w:pPr>
      <w:r>
        <w:rPr>
          <w:rFonts w:hint="eastAsia" w:eastAsia="黑体"/>
          <w:bCs/>
          <w:sz w:val="44"/>
          <w:szCs w:val="44"/>
        </w:rPr>
        <w:t>金属非金属地下矿山油料运输、储存、使用指南</w:t>
      </w:r>
    </w:p>
    <w:p>
      <w:pPr>
        <w:adjustRightInd w:val="0"/>
        <w:snapToGrid w:val="0"/>
        <w:jc w:val="center"/>
        <w:rPr>
          <w:rFonts w:eastAsia="黑体"/>
          <w:bCs/>
          <w:sz w:val="44"/>
          <w:szCs w:val="44"/>
        </w:rPr>
      </w:pPr>
    </w:p>
    <w:p>
      <w:pPr>
        <w:adjustRightInd w:val="0"/>
        <w:snapToGrid w:val="0"/>
        <w:jc w:val="center"/>
        <w:rPr>
          <w:rFonts w:eastAsia="黑体"/>
          <w:color w:val="000000"/>
          <w:sz w:val="32"/>
          <w:szCs w:val="32"/>
        </w:rPr>
      </w:pPr>
      <w:r>
        <w:rPr>
          <w:rFonts w:hint="eastAsia" w:eastAsia="黑体"/>
          <w:color w:val="000000"/>
          <w:sz w:val="32"/>
          <w:szCs w:val="32"/>
        </w:rPr>
        <w:t>Guide for transport, storage and using of oil material in metal and nonmetal underground mine</w:t>
      </w: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r>
        <w:rPr>
          <w:rFonts w:eastAsia="仿宋_GB2312"/>
          <w:color w:val="000000"/>
          <w:sz w:val="28"/>
          <w:szCs w:val="28"/>
        </w:rPr>
        <w:t>（</w:t>
      </w:r>
      <w:r>
        <w:rPr>
          <w:rFonts w:hint="eastAsia" w:eastAsia="仿宋_GB2312"/>
          <w:color w:val="000000"/>
          <w:sz w:val="28"/>
          <w:szCs w:val="28"/>
        </w:rPr>
        <w:t>送审稿</w:t>
      </w:r>
      <w:r>
        <w:rPr>
          <w:rFonts w:eastAsia="仿宋_GB2312"/>
          <w:color w:val="000000"/>
          <w:sz w:val="28"/>
          <w:szCs w:val="28"/>
        </w:rPr>
        <w:t>）</w:t>
      </w: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jc w:val="center"/>
        <w:rPr>
          <w:rFonts w:eastAsia="仿宋_GB2312"/>
          <w:color w:val="000000"/>
          <w:sz w:val="28"/>
          <w:szCs w:val="28"/>
        </w:rPr>
      </w:pPr>
    </w:p>
    <w:p>
      <w:pPr>
        <w:adjustRightInd w:val="0"/>
        <w:snapToGrid w:val="0"/>
        <w:rPr>
          <w:rFonts w:eastAsia="仿宋_GB2312"/>
          <w:color w:val="000000"/>
          <w:sz w:val="28"/>
          <w:szCs w:val="28"/>
        </w:rPr>
      </w:pPr>
      <w:r>
        <w:rPr>
          <w:rFonts w:eastAsia="仿宋_GB2312"/>
          <w:color w:val="000000"/>
          <w:sz w:val="28"/>
          <w:szCs w:val="28"/>
        </w:rPr>
        <w:t>20</w:t>
      </w:r>
      <w:r>
        <w:rPr>
          <w:rFonts w:hint="eastAsia" w:eastAsia="仿宋_GB2312"/>
          <w:color w:val="000000"/>
          <w:sz w:val="28"/>
          <w:szCs w:val="28"/>
        </w:rPr>
        <w:t>20</w:t>
      </w:r>
      <w:r>
        <w:rPr>
          <w:rFonts w:eastAsia="仿宋_GB2312"/>
          <w:color w:val="000000"/>
          <w:sz w:val="28"/>
          <w:szCs w:val="28"/>
        </w:rPr>
        <w:t>－</w:t>
      </w:r>
      <w:r>
        <w:rPr>
          <w:rFonts w:eastAsia="仿宋_GB2312"/>
          <w:color w:val="000000"/>
          <w:sz w:val="24"/>
          <w:szCs w:val="28"/>
        </w:rPr>
        <w:t>××</w:t>
      </w:r>
      <w:r>
        <w:rPr>
          <w:rFonts w:eastAsia="仿宋_GB2312"/>
          <w:color w:val="000000"/>
          <w:sz w:val="28"/>
          <w:szCs w:val="28"/>
        </w:rPr>
        <w:t>－</w:t>
      </w:r>
      <w:r>
        <w:rPr>
          <w:rFonts w:eastAsia="仿宋_GB2312"/>
          <w:color w:val="000000"/>
          <w:sz w:val="24"/>
          <w:szCs w:val="28"/>
        </w:rPr>
        <w:t>××</w:t>
      </w:r>
      <w:r>
        <w:rPr>
          <w:rFonts w:eastAsia="黑体"/>
          <w:color w:val="000000"/>
          <w:sz w:val="28"/>
          <w:szCs w:val="28"/>
        </w:rPr>
        <w:t>发布</w:t>
      </w:r>
      <w:r>
        <w:rPr>
          <w:rFonts w:eastAsia="仿宋_GB2312"/>
          <w:color w:val="000000"/>
          <w:sz w:val="28"/>
          <w:szCs w:val="28"/>
        </w:rPr>
        <w:t xml:space="preserve">                              20</w:t>
      </w:r>
      <w:r>
        <w:rPr>
          <w:rFonts w:hint="eastAsia" w:eastAsia="仿宋_GB2312"/>
          <w:color w:val="000000"/>
          <w:sz w:val="28"/>
          <w:szCs w:val="28"/>
        </w:rPr>
        <w:t>20</w:t>
      </w:r>
      <w:r>
        <w:rPr>
          <w:rFonts w:eastAsia="仿宋_GB2312"/>
          <w:color w:val="000000"/>
          <w:sz w:val="28"/>
          <w:szCs w:val="28"/>
        </w:rPr>
        <w:t>－</w:t>
      </w:r>
      <w:r>
        <w:rPr>
          <w:rFonts w:eastAsia="仿宋_GB2312"/>
          <w:color w:val="000000"/>
          <w:sz w:val="24"/>
          <w:szCs w:val="28"/>
        </w:rPr>
        <w:t>××</w:t>
      </w:r>
      <w:r>
        <w:rPr>
          <w:rFonts w:eastAsia="仿宋_GB2312"/>
          <w:color w:val="000000"/>
          <w:sz w:val="28"/>
          <w:szCs w:val="28"/>
        </w:rPr>
        <w:t>－</w:t>
      </w:r>
      <w:r>
        <w:rPr>
          <w:rFonts w:eastAsia="仿宋_GB2312"/>
          <w:color w:val="000000"/>
          <w:sz w:val="24"/>
          <w:szCs w:val="28"/>
        </w:rPr>
        <w:t>××</w:t>
      </w:r>
      <w:r>
        <w:rPr>
          <w:rFonts w:eastAsia="黑体"/>
          <w:color w:val="000000"/>
          <w:sz w:val="28"/>
          <w:szCs w:val="28"/>
        </w:rPr>
        <w:t>实施</w:t>
      </w:r>
    </w:p>
    <w:p>
      <w:pPr>
        <w:adjustRightInd w:val="0"/>
        <w:snapToGrid w:val="0"/>
        <w:jc w:val="center"/>
        <w:rPr>
          <w:rFonts w:eastAsia="仿宋_GB2312"/>
          <w:color w:val="000000"/>
          <w:sz w:val="28"/>
          <w:szCs w:val="28"/>
        </w:rPr>
      </w:pPr>
      <w:r>
        <w:rPr>
          <w:rFonts w:eastAsia="仿宋_GB2312"/>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36195</wp:posOffset>
                </wp:positionV>
                <wp:extent cx="5888990" cy="0"/>
                <wp:effectExtent l="8255" t="7620" r="8255" b="1143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12700">
                          <a:solidFill>
                            <a:srgbClr val="000000"/>
                          </a:solidFill>
                          <a:round/>
                        </a:ln>
                      </wps:spPr>
                      <wps:bodyPr/>
                    </wps:wsp>
                  </a:graphicData>
                </a:graphic>
              </wp:anchor>
            </w:drawing>
          </mc:Choice>
          <mc:Fallback>
            <w:pict>
              <v:line id="直线 3" o:spid="_x0000_s1026" o:spt="20" style="position:absolute;left:0pt;margin-left:-5.35pt;margin-top:2.85pt;height:0pt;width:463.7pt;z-index:251658240;mso-width-relative:page;mso-height-relative:page;" filled="f" stroked="t" coordsize="21600,21600" o:gfxdata="UEsFBgAAAAAAAAAAAAAAAAAAAAAAAFBLAwQKAAAAAACHTuJAAAAAAAAAAAAAAAAABAAAAGRycy9Q&#10;SwMEFAAAAAgAh07iQLG7erTWAAAABwEAAA8AAABkcnMvZG93bnJldi54bWxNjs1OwzAQhO9IvIO1&#10;SNxaO5VoQxqnB1BVgbi0ReLqxts4EK/T2P3h7Vm4lNPOaEazX7m4+E6ccIhtIA3ZWIFAqoNtqdHw&#10;vl2OchAxGbKmC4QavjHCorq9KU1hw5nWeNqkRvAIxcJocCn1hZSxduhNHIceibN9GLxJbIdG2sGc&#10;edx3cqLUVHrTEn9wpscnh/XX5ug1mOfVOn3kk9dZ++LePrfLw8rlB63v7zI1B5Hwkq5l+MVndKiY&#10;aReOZKPoNIwyNeOqhgc+nD9mUxa7Py+rUv7nr34AUEsDBBQAAAAIAIdO4kD97CIFuwEAAFQDAAAO&#10;AAAAZHJzL2Uyb0RvYy54bWytU01uEzEU3iNxB8t7MpMgIB1l0kWqsikQqeUAL7YnY2H7WbaTmZyF&#10;a7Biw3F6DZ6dH0q7Q2RhxX7vff5+PIvr0Rq2VyFqdC2fTmrOlBMotdu2/OvD7Zs5ZzGBk2DQqZYf&#10;VOTXy9evFoNv1Ax7NFIFRiAuNoNveZ+Sb6oqil5ZiBP0ylGxw2Ah0TZsKxlgIHRrqlldv68GDNIH&#10;FCpGOr05Fvmy4HedEulL10WVmGk5cUtlDWXd5LVaLqDZBvC9Fica8A8sLGhHl16gbiAB2wX9Aspq&#10;ETBilyYCbYVdp4UqGkjNtH6m5r4Hr4oWMif6i03x/8GKz/t1YFpSdpw5sBTR4/cfjz9/sbfZm8HH&#10;hlpWbh2yOjG6e3+H4ltkDlc9uK0qHB8OnganeaL6ayRvoqcbNsMnlNQDu4TFqLELNkOSBWwseRwu&#10;eagxMUGH7+bz+dUVxSbOtQqa86APMX1UaFn+03KjXbYKGtjfxZSJQHNuyccOb7UxJW7j2EBsZx/q&#10;ukxENFrmau6LYbtZmcD2kF9M+RVZVHnaFnDn5PEW406qs9CjZRuUh3U4u0HRFTqnZ5bfxtN9mf7z&#10;MS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LG7erTWAAAABwEAAA8AAAAAAAAAAQAgAAAAOAAA&#10;AGRycy9kb3ducmV2LnhtbFBLAQIUABQAAAAIAIdO4kD97CIFuwEAAFQDAAAOAAAAAAAAAAEAIAAA&#10;ADsBAABkcnMvZTJvRG9jLnhtbFBLBQYAAAAABgAGAFkBAABoBQAAAAA=&#10;">
                <v:fill on="f" focussize="0,0"/>
                <v:stroke weight="1pt" color="#000000" joinstyle="round"/>
                <v:imagedata o:title=""/>
                <o:lock v:ext="edit" aspectratio="f"/>
              </v:line>
            </w:pict>
          </mc:Fallback>
        </mc:AlternateContent>
      </w:r>
    </w:p>
    <w:p>
      <w:pPr>
        <w:adjustRightInd w:val="0"/>
        <w:snapToGrid w:val="0"/>
        <w:jc w:val="center"/>
        <w:rPr>
          <w:rFonts w:eastAsia="仿宋_GB2312"/>
          <w:color w:val="000000"/>
          <w:sz w:val="28"/>
          <w:szCs w:val="28"/>
        </w:rPr>
      </w:pPr>
      <w:r>
        <w:rPr>
          <w:rFonts w:hint="eastAsia" w:eastAsia="黑体"/>
          <w:color w:val="000000"/>
          <w:sz w:val="30"/>
          <w:szCs w:val="28"/>
        </w:rPr>
        <w:t>中华人民共和国应急管理部</w:t>
      </w:r>
      <w:r>
        <w:rPr>
          <w:rFonts w:eastAsia="仿宋_GB2312"/>
          <w:color w:val="000000"/>
          <w:sz w:val="28"/>
          <w:szCs w:val="28"/>
        </w:rPr>
        <w:t xml:space="preserve">      </w:t>
      </w:r>
      <w:r>
        <w:rPr>
          <w:rFonts w:eastAsia="黑体"/>
          <w:color w:val="000000"/>
          <w:sz w:val="30"/>
          <w:szCs w:val="28"/>
        </w:rPr>
        <w:t>发 布</w:t>
      </w:r>
    </w:p>
    <w:p>
      <w:pPr>
        <w:rPr>
          <w:b/>
          <w:color w:val="000000"/>
          <w:sz w:val="32"/>
          <w:szCs w:val="32"/>
        </w:rPr>
        <w:sectPr>
          <w:footerReference r:id="rId3" w:type="default"/>
          <w:footerReference r:id="rId4" w:type="even"/>
          <w:pgSz w:w="11907" w:h="16839"/>
          <w:pgMar w:top="1418" w:right="1134" w:bottom="1134" w:left="1418" w:header="1418" w:footer="851" w:gutter="0"/>
          <w:pgNumType w:fmt="upperRoman" w:start="1"/>
          <w:cols w:space="720" w:num="1"/>
          <w:docGrid w:type="lines" w:linePitch="312" w:charSpace="0"/>
        </w:sectPr>
      </w:pPr>
    </w:p>
    <w:p>
      <w:pPr>
        <w:rPr>
          <w:b/>
          <w:color w:val="000000"/>
          <w:sz w:val="32"/>
          <w:szCs w:val="32"/>
        </w:rPr>
      </w:pPr>
    </w:p>
    <w:p>
      <w:pPr>
        <w:jc w:val="center"/>
        <w:rPr>
          <w:rFonts w:eastAsia="黑体"/>
          <w:sz w:val="32"/>
          <w:szCs w:val="32"/>
        </w:rPr>
      </w:pPr>
    </w:p>
    <w:p>
      <w:pPr>
        <w:jc w:val="center"/>
        <w:rPr>
          <w:rFonts w:eastAsia="黑体"/>
          <w:sz w:val="32"/>
          <w:szCs w:val="32"/>
        </w:rPr>
      </w:pPr>
      <w:r>
        <w:rPr>
          <w:rFonts w:eastAsia="黑体"/>
          <w:sz w:val="32"/>
          <w:szCs w:val="32"/>
        </w:rPr>
        <w:t>目  次</w:t>
      </w:r>
    </w:p>
    <w:p>
      <w:pPr>
        <w:jc w:val="center"/>
        <w:rPr>
          <w:rFonts w:eastAsia="黑体"/>
          <w:szCs w:val="21"/>
        </w:rPr>
      </w:pP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rPr>
          <w:b/>
          <w:bCs/>
          <w:caps/>
          <w:smallCaps w:val="0"/>
          <w:color w:val="000000"/>
          <w:szCs w:val="21"/>
        </w:rPr>
        <w:fldChar w:fldCharType="begin"/>
      </w:r>
      <w:r>
        <w:rPr>
          <w:b/>
          <w:bCs/>
          <w:caps/>
          <w:smallCaps w:val="0"/>
          <w:color w:val="000000"/>
          <w:szCs w:val="21"/>
        </w:rPr>
        <w:instrText xml:space="preserve"> TOC \o "1-2" \h \z \u </w:instrText>
      </w:r>
      <w:r>
        <w:rPr>
          <w:b/>
          <w:bCs/>
          <w:caps/>
          <w:smallCaps w:val="0"/>
          <w:color w:val="000000"/>
          <w:szCs w:val="21"/>
        </w:rPr>
        <w:fldChar w:fldCharType="separate"/>
      </w:r>
      <w:r>
        <w:fldChar w:fldCharType="begin"/>
      </w:r>
      <w:r>
        <w:instrText xml:space="preserve"> HYPERLINK \l "_Toc525635614" </w:instrText>
      </w:r>
      <w:r>
        <w:fldChar w:fldCharType="separate"/>
      </w:r>
      <w:r>
        <w:rPr>
          <w:rStyle w:val="25"/>
          <w:rFonts w:hint="eastAsia" w:asciiTheme="minorEastAsia" w:hAnsiTheme="minorEastAsia" w:eastAsiaTheme="minorEastAsia"/>
          <w:sz w:val="24"/>
          <w:szCs w:val="24"/>
        </w:rPr>
        <w:t>前</w:t>
      </w:r>
      <w:r>
        <w:rPr>
          <w:rStyle w:val="25"/>
          <w:rFonts w:asciiTheme="minorEastAsia" w:hAnsiTheme="minorEastAsia" w:eastAsiaTheme="minorEastAsia"/>
          <w:sz w:val="24"/>
          <w:szCs w:val="24"/>
        </w:rPr>
        <w:t xml:space="preserve">  </w:t>
      </w:r>
      <w:r>
        <w:rPr>
          <w:rStyle w:val="25"/>
          <w:rFonts w:hint="eastAsia" w:asciiTheme="minorEastAsia" w:hAnsiTheme="minorEastAsia" w:eastAsiaTheme="minorEastAsia"/>
          <w:sz w:val="24"/>
          <w:szCs w:val="24"/>
        </w:rPr>
        <w:t>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I</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"_Toc525635615" </w:instrText>
      </w:r>
      <w:r>
        <w:fldChar w:fldCharType="separate"/>
      </w:r>
      <w:r>
        <w:rPr>
          <w:rStyle w:val="25"/>
          <w:rFonts w:asciiTheme="minorEastAsia" w:hAnsiTheme="minorEastAsia" w:eastAsiaTheme="minorEastAsia"/>
          <w:sz w:val="24"/>
          <w:szCs w:val="24"/>
        </w:rPr>
        <w:t xml:space="preserve">1  </w:t>
      </w:r>
      <w:r>
        <w:rPr>
          <w:rStyle w:val="25"/>
          <w:rFonts w:hint="eastAsia" w:asciiTheme="minorEastAsia" w:hAnsiTheme="minorEastAsia" w:eastAsiaTheme="minorEastAsia"/>
          <w:sz w:val="24"/>
          <w:szCs w:val="24"/>
        </w:rPr>
        <w:t>范围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"_Toc525635616" </w:instrText>
      </w:r>
      <w:r>
        <w:fldChar w:fldCharType="separate"/>
      </w:r>
      <w:r>
        <w:rPr>
          <w:rStyle w:val="25"/>
          <w:rFonts w:asciiTheme="minorEastAsia" w:hAnsiTheme="minorEastAsia" w:eastAsiaTheme="minorEastAsia"/>
          <w:sz w:val="24"/>
          <w:szCs w:val="24"/>
        </w:rPr>
        <w:t xml:space="preserve">2  </w:t>
      </w:r>
      <w:r>
        <w:rPr>
          <w:rStyle w:val="25"/>
          <w:rFonts w:hint="eastAsia" w:asciiTheme="minorEastAsia" w:hAnsiTheme="minorEastAsia" w:eastAsiaTheme="minorEastAsia"/>
          <w:sz w:val="24"/>
          <w:szCs w:val="24"/>
        </w:rPr>
        <w:t>规范性引用文件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"_Toc525635617" </w:instrText>
      </w:r>
      <w:r>
        <w:fldChar w:fldCharType="separate"/>
      </w:r>
      <w:r>
        <w:rPr>
          <w:rStyle w:val="25"/>
          <w:rFonts w:asciiTheme="minorEastAsia" w:hAnsiTheme="minorEastAsia" w:eastAsiaTheme="minorEastAsia"/>
          <w:sz w:val="24"/>
          <w:szCs w:val="24"/>
        </w:rPr>
        <w:t xml:space="preserve">3  </w:t>
      </w:r>
      <w:r>
        <w:rPr>
          <w:rStyle w:val="25"/>
          <w:rFonts w:hint="eastAsia" w:asciiTheme="minorEastAsia" w:hAnsiTheme="minorEastAsia" w:eastAsiaTheme="minorEastAsia"/>
          <w:sz w:val="24"/>
          <w:szCs w:val="24"/>
        </w:rPr>
        <w:t>术语和定义</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"_Toc525635618" </w:instrText>
      </w:r>
      <w:r>
        <w:fldChar w:fldCharType="separate"/>
      </w:r>
      <w:r>
        <w:rPr>
          <w:rStyle w:val="25"/>
          <w:rFonts w:asciiTheme="minorEastAsia" w:hAnsiTheme="minorEastAsia" w:eastAsiaTheme="minorEastAsia"/>
          <w:sz w:val="24"/>
          <w:szCs w:val="24"/>
        </w:rPr>
        <w:t xml:space="preserve">4  </w:t>
      </w:r>
      <w:r>
        <w:rPr>
          <w:rStyle w:val="25"/>
          <w:rFonts w:hint="eastAsia" w:asciiTheme="minorEastAsia" w:hAnsiTheme="minorEastAsia" w:eastAsiaTheme="minorEastAsia"/>
          <w:sz w:val="24"/>
          <w:szCs w:val="24"/>
        </w:rPr>
        <w:t>一般规定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"_Toc525635619" </w:instrText>
      </w:r>
      <w:r>
        <w:fldChar w:fldCharType="separate"/>
      </w:r>
      <w:r>
        <w:rPr>
          <w:rStyle w:val="25"/>
          <w:rFonts w:asciiTheme="minorEastAsia" w:hAnsiTheme="minorEastAsia" w:eastAsiaTheme="minorEastAsia"/>
          <w:sz w:val="24"/>
          <w:szCs w:val="24"/>
        </w:rPr>
        <w:t xml:space="preserve">5  </w:t>
      </w:r>
      <w:r>
        <w:rPr>
          <w:rStyle w:val="25"/>
          <w:rFonts w:hint="eastAsia" w:asciiTheme="minorEastAsia" w:hAnsiTheme="minorEastAsia" w:eastAsiaTheme="minorEastAsia"/>
          <w:sz w:val="24"/>
          <w:szCs w:val="24"/>
        </w:rPr>
        <w:t>油料运输</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_Toc525635619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"_Toc525635620" </w:instrText>
      </w:r>
      <w:r>
        <w:fldChar w:fldCharType="separate"/>
      </w:r>
      <w:r>
        <w:rPr>
          <w:rStyle w:val="25"/>
          <w:rFonts w:asciiTheme="minorEastAsia" w:hAnsiTheme="minorEastAsia" w:eastAsiaTheme="minorEastAsia"/>
          <w:sz w:val="24"/>
          <w:szCs w:val="24"/>
        </w:rPr>
        <w:t xml:space="preserve">6  </w:t>
      </w:r>
      <w:r>
        <w:rPr>
          <w:rStyle w:val="25"/>
          <w:rFonts w:hint="eastAsia" w:asciiTheme="minorEastAsia" w:hAnsiTheme="minorEastAsia" w:eastAsiaTheme="minorEastAsia"/>
          <w:sz w:val="24"/>
          <w:szCs w:val="24"/>
        </w:rPr>
        <w:t>井下油料储存</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_Toc525635620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"_Toc525635621" </w:instrText>
      </w:r>
      <w:r>
        <w:fldChar w:fldCharType="separate"/>
      </w:r>
      <w:r>
        <w:rPr>
          <w:rStyle w:val="25"/>
          <w:rFonts w:asciiTheme="minorEastAsia" w:hAnsiTheme="minorEastAsia" w:eastAsiaTheme="minorEastAsia"/>
          <w:sz w:val="24"/>
          <w:szCs w:val="24"/>
        </w:rPr>
        <w:t xml:space="preserve">7  </w:t>
      </w:r>
      <w:r>
        <w:rPr>
          <w:rStyle w:val="25"/>
          <w:rFonts w:hint="eastAsia" w:asciiTheme="minorEastAsia" w:hAnsiTheme="minorEastAsia" w:eastAsiaTheme="minorEastAsia"/>
          <w:sz w:val="24"/>
          <w:szCs w:val="24"/>
        </w:rPr>
        <w:t>油料使用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_Toc525635621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EastAsia" w:hAnsiTheme="minorEastAsia" w:eastAsiaTheme="minorEastAsia" w:cstheme="minorBidi"/>
          <w:smallCaps w:val="0"/>
          <w:sz w:val="24"/>
          <w:szCs w:val="24"/>
        </w:rPr>
      </w:pPr>
      <w:r>
        <w:fldChar w:fldCharType="begin"/>
      </w:r>
      <w:r>
        <w:instrText xml:space="preserve"> HYPERLINK \l "_Toc525635622" </w:instrText>
      </w:r>
      <w:r>
        <w:fldChar w:fldCharType="separate"/>
      </w:r>
      <w:r>
        <w:rPr>
          <w:rStyle w:val="25"/>
          <w:rFonts w:asciiTheme="minorEastAsia" w:hAnsiTheme="minorEastAsia" w:eastAsiaTheme="minorEastAsia"/>
          <w:sz w:val="24"/>
          <w:szCs w:val="24"/>
        </w:rPr>
        <w:t xml:space="preserve">8  </w:t>
      </w:r>
      <w:r>
        <w:rPr>
          <w:rStyle w:val="25"/>
          <w:rFonts w:hint="eastAsia" w:asciiTheme="minorEastAsia" w:hAnsiTheme="minorEastAsia" w:eastAsiaTheme="minorEastAsia"/>
          <w:sz w:val="24"/>
          <w:szCs w:val="24"/>
        </w:rPr>
        <w:t>消防</w:t>
      </w:r>
      <w:r>
        <w:rPr>
          <w:rFonts w:asciiTheme="minorEastAsia" w:hAnsiTheme="minorEastAsia" w:eastAsiaTheme="minorEastAsia"/>
          <w:sz w:val="24"/>
          <w:szCs w:val="24"/>
        </w:rPr>
        <w:tab/>
      </w:r>
      <w:r>
        <w:rPr>
          <w:rFonts w:hint="eastAsia" w:asciiTheme="minorEastAsia" w:hAnsiTheme="minorEastAsia" w:eastAsiaTheme="minorEastAsia"/>
          <w:sz w:val="24"/>
          <w:szCs w:val="24"/>
        </w:rPr>
        <w:t>8</w:t>
      </w:r>
      <w:r>
        <w:rPr>
          <w:rFonts w:hint="eastAsia" w:asciiTheme="minorEastAsia" w:hAnsiTheme="minorEastAsia" w:eastAsiaTheme="minorEastAsia"/>
          <w:sz w:val="24"/>
          <w:szCs w:val="24"/>
        </w:rPr>
        <w:fldChar w:fldCharType="end"/>
      </w:r>
    </w:p>
    <w:p>
      <w:pPr>
        <w:pStyle w:val="21"/>
        <w:tabs>
          <w:tab w:val="right" w:leader="dot" w:pos="9345"/>
        </w:tabs>
        <w:snapToGrid w:val="0"/>
        <w:spacing w:line="360" w:lineRule="auto"/>
        <w:rPr>
          <w:rFonts w:asciiTheme="minorHAnsi" w:hAnsiTheme="minorHAnsi" w:eastAsiaTheme="minorEastAsia" w:cstheme="minorBidi"/>
          <w:smallCaps w:val="0"/>
          <w:sz w:val="21"/>
          <w:szCs w:val="22"/>
        </w:rPr>
      </w:pPr>
      <w:r>
        <w:fldChar w:fldCharType="begin"/>
      </w:r>
      <w:r>
        <w:instrText xml:space="preserve"> HYPERLINK \l "_Toc525635623" </w:instrText>
      </w:r>
      <w:r>
        <w:fldChar w:fldCharType="separate"/>
      </w:r>
      <w:r>
        <w:rPr>
          <w:rStyle w:val="25"/>
          <w:rFonts w:asciiTheme="minorEastAsia" w:hAnsiTheme="minorEastAsia" w:eastAsiaTheme="minorEastAsia"/>
          <w:sz w:val="24"/>
          <w:szCs w:val="24"/>
        </w:rPr>
        <w:t xml:space="preserve">9  </w:t>
      </w:r>
      <w:r>
        <w:rPr>
          <w:rStyle w:val="25"/>
          <w:rFonts w:hint="eastAsia" w:asciiTheme="minorEastAsia" w:hAnsiTheme="minorEastAsia" w:eastAsiaTheme="minorEastAsia"/>
          <w:sz w:val="24"/>
          <w:szCs w:val="24"/>
        </w:rPr>
        <w:t>管理制度和应急响应</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_Toc525635623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3"/>
        <w:spacing w:line="480" w:lineRule="auto"/>
        <w:rPr>
          <w:rFonts w:ascii="Times New Roman"/>
          <w:color w:val="000000"/>
          <w:szCs w:val="21"/>
        </w:rPr>
        <w:sectPr>
          <w:footerReference r:id="rId5" w:type="default"/>
          <w:pgSz w:w="11907" w:h="16839"/>
          <w:pgMar w:top="1418" w:right="1134" w:bottom="1134" w:left="1418" w:header="1418" w:footer="851" w:gutter="0"/>
          <w:pgNumType w:fmt="upperRoman" w:start="1"/>
          <w:cols w:space="720" w:num="1"/>
          <w:docGrid w:type="lines" w:linePitch="312" w:charSpace="0"/>
        </w:sectPr>
      </w:pPr>
      <w:r>
        <w:rPr>
          <w:rFonts w:ascii="Times New Roman"/>
          <w:b/>
          <w:bCs/>
          <w:caps/>
          <w:smallCaps/>
          <w:color w:val="000000"/>
          <w:kern w:val="2"/>
          <w:sz w:val="20"/>
          <w:szCs w:val="21"/>
        </w:rPr>
        <w:fldChar w:fldCharType="end"/>
      </w:r>
    </w:p>
    <w:p>
      <w:pPr>
        <w:pStyle w:val="3"/>
        <w:spacing w:before="0" w:after="0" w:line="360" w:lineRule="auto"/>
        <w:jc w:val="center"/>
        <w:rPr>
          <w:rFonts w:ascii="Times New Roman" w:hAnsi="Times New Roman" w:eastAsia="宋体"/>
        </w:rPr>
      </w:pPr>
      <w:bookmarkStart w:id="0" w:name="_Toc283103640"/>
    </w:p>
    <w:p>
      <w:pPr>
        <w:pStyle w:val="3"/>
        <w:spacing w:before="0" w:after="0" w:line="360" w:lineRule="auto"/>
        <w:jc w:val="center"/>
        <w:rPr>
          <w:rFonts w:ascii="Times New Roman" w:hAnsi="Times New Roman" w:eastAsia="宋体"/>
        </w:rPr>
      </w:pPr>
      <w:bookmarkStart w:id="1" w:name="_Toc525635614"/>
      <w:r>
        <w:rPr>
          <w:rFonts w:ascii="Times New Roman" w:hAnsi="Times New Roman" w:eastAsia="宋体"/>
        </w:rPr>
        <w:t>前  言</w:t>
      </w:r>
      <w:bookmarkEnd w:id="0"/>
      <w:bookmarkEnd w:id="1"/>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本标准是推荐性标准。</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本标准用于</w:t>
      </w:r>
      <w:r>
        <w:rPr>
          <w:rFonts w:hint="eastAsia" w:asciiTheme="minorEastAsia" w:hAnsiTheme="minorEastAsia" w:eastAsiaTheme="minorEastAsia"/>
          <w:sz w:val="24"/>
        </w:rPr>
        <w:t>规范和指导</w:t>
      </w:r>
      <w:r>
        <w:rPr>
          <w:rFonts w:asciiTheme="minorEastAsia" w:hAnsiTheme="minorEastAsia" w:eastAsiaTheme="minorEastAsia"/>
          <w:sz w:val="24"/>
        </w:rPr>
        <w:t>金属非金属</w:t>
      </w:r>
      <w:r>
        <w:rPr>
          <w:rFonts w:hint="eastAsia" w:asciiTheme="minorEastAsia" w:hAnsiTheme="minorEastAsia" w:eastAsiaTheme="minorEastAsia"/>
          <w:sz w:val="24"/>
        </w:rPr>
        <w:t>地下矿山油料运输、储存、使用和管理，包括油料的车辆运输、管道输送、竖井或斜井提升等以及加油站和油库的设置、加油过程的注意事项、消防、管理制度和应急响应等。</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本标准编制所依据的起草规则是《标准化工作导则第一部分：标准的结构和编写》（GB/T1.1-2009）。</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本标准由</w:t>
      </w:r>
      <w:r>
        <w:rPr>
          <w:rFonts w:hint="eastAsia" w:asciiTheme="minorEastAsia" w:hAnsiTheme="minorEastAsia" w:eastAsiaTheme="minorEastAsia"/>
          <w:sz w:val="24"/>
        </w:rPr>
        <w:t>中华人民共和国应急管理部</w:t>
      </w:r>
      <w:r>
        <w:rPr>
          <w:rFonts w:asciiTheme="minorEastAsia" w:hAnsiTheme="minorEastAsia" w:eastAsiaTheme="minorEastAsia"/>
          <w:sz w:val="24"/>
        </w:rPr>
        <w:t>提出</w:t>
      </w:r>
      <w:r>
        <w:rPr>
          <w:rFonts w:hint="eastAsia" w:asciiTheme="minorEastAsia" w:hAnsiTheme="minorEastAsia" w:eastAsiaTheme="minorEastAsia"/>
          <w:sz w:val="24"/>
        </w:rPr>
        <w:t>并归口</w:t>
      </w:r>
      <w:r>
        <w:rPr>
          <w:rFonts w:asciiTheme="minorEastAsia" w:hAnsiTheme="minorEastAsia" w:eastAsiaTheme="minorEastAsia"/>
          <w:sz w:val="24"/>
        </w:rPr>
        <w:t>。</w:t>
      </w:r>
    </w:p>
    <w:p>
      <w:pPr>
        <w:pStyle w:val="54"/>
        <w:snapToGrid w:val="0"/>
        <w:spacing w:line="360" w:lineRule="auto"/>
        <w:ind w:firstLine="480"/>
        <w:rPr>
          <w:sz w:val="24"/>
          <w:szCs w:val="24"/>
        </w:rPr>
      </w:pPr>
      <w:r>
        <w:rPr>
          <w:sz w:val="24"/>
          <w:szCs w:val="24"/>
        </w:rPr>
        <w:t>本标准负责起草单位：中国恩菲工程技术有限公司。</w:t>
      </w:r>
    </w:p>
    <w:p>
      <w:pPr>
        <w:snapToGrid w:val="0"/>
        <w:spacing w:line="360" w:lineRule="auto"/>
        <w:ind w:firstLine="480" w:firstLineChars="200"/>
        <w:rPr>
          <w:rFonts w:asciiTheme="minorEastAsia" w:hAnsiTheme="minorEastAsia" w:eastAsiaTheme="minorEastAsia"/>
          <w:sz w:val="24"/>
        </w:rPr>
      </w:pPr>
      <w:r>
        <w:rPr>
          <w:sz w:val="24"/>
        </w:rPr>
        <w:t>本标准参加起草单位：</w:t>
      </w:r>
      <w:r>
        <w:rPr>
          <w:rFonts w:hint="eastAsia" w:asciiTheme="minorEastAsia" w:hAnsiTheme="minorEastAsia" w:eastAsiaTheme="minorEastAsia"/>
          <w:sz w:val="24"/>
        </w:rPr>
        <w:t>金川集团股份有限公司、长沙矿山研究院有限责任公司。</w:t>
      </w:r>
    </w:p>
    <w:p>
      <w:pPr>
        <w:pStyle w:val="9"/>
        <w:adjustRightInd/>
        <w:spacing w:line="360" w:lineRule="auto"/>
        <w:ind w:left="-42" w:firstLine="48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本标准主要起草人： </w:t>
      </w:r>
    </w:p>
    <w:p>
      <w:pPr>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本标准为首次发布。</w:t>
      </w:r>
    </w:p>
    <w:p>
      <w:pPr>
        <w:spacing w:line="440" w:lineRule="exact"/>
        <w:ind w:firstLine="420" w:firstLineChars="200"/>
        <w:rPr>
          <w:color w:val="000000"/>
          <w:szCs w:val="21"/>
        </w:rPr>
      </w:pPr>
    </w:p>
    <w:p>
      <w:pPr>
        <w:spacing w:line="360" w:lineRule="auto"/>
        <w:ind w:firstLine="420" w:firstLineChars="200"/>
        <w:rPr>
          <w:color w:val="000000"/>
          <w:szCs w:val="21"/>
        </w:rPr>
      </w:pPr>
    </w:p>
    <w:p>
      <w:pPr>
        <w:pStyle w:val="3"/>
        <w:spacing w:before="0" w:after="0" w:line="360" w:lineRule="auto"/>
        <w:jc w:val="center"/>
        <w:rPr>
          <w:rFonts w:ascii="Times New Roman" w:hAnsi="Times New Roman" w:eastAsia="宋体"/>
          <w:color w:val="000000"/>
          <w:sz w:val="21"/>
          <w:szCs w:val="21"/>
        </w:rPr>
        <w:sectPr>
          <w:footerReference r:id="rId6" w:type="default"/>
          <w:pgSz w:w="11906" w:h="16838"/>
          <w:pgMar w:top="1440" w:right="1644" w:bottom="1440" w:left="1701" w:header="851" w:footer="992" w:gutter="0"/>
          <w:pgNumType w:fmt="upperRoman" w:start="1"/>
          <w:cols w:space="720" w:num="1"/>
          <w:docGrid w:type="lines" w:linePitch="312" w:charSpace="0"/>
        </w:sectPr>
      </w:pPr>
    </w:p>
    <w:p>
      <w:pPr>
        <w:pStyle w:val="3"/>
        <w:snapToGrid w:val="0"/>
        <w:spacing w:before="156" w:beforeLines="50" w:after="0" w:line="360" w:lineRule="auto"/>
        <w:rPr>
          <w:rFonts w:asciiTheme="minorEastAsia" w:hAnsiTheme="minorEastAsia" w:eastAsiaTheme="minorEastAsia"/>
          <w:b w:val="0"/>
          <w:sz w:val="30"/>
          <w:szCs w:val="30"/>
        </w:rPr>
      </w:pPr>
      <w:bookmarkStart w:id="2" w:name="_Toc525635615"/>
      <w:bookmarkStart w:id="3" w:name="_Toc283103641"/>
      <w:r>
        <w:rPr>
          <w:rFonts w:asciiTheme="minorEastAsia" w:hAnsiTheme="minorEastAsia" w:eastAsiaTheme="minorEastAsia"/>
          <w:b w:val="0"/>
          <w:bCs w:val="0"/>
          <w:sz w:val="30"/>
          <w:szCs w:val="30"/>
        </w:rPr>
        <w:t xml:space="preserve">1 </w:t>
      </w:r>
      <w:r>
        <w:rPr>
          <w:rFonts w:asciiTheme="minorEastAsia" w:hAnsiTheme="minorEastAsia" w:eastAsiaTheme="minorEastAsia"/>
          <w:sz w:val="30"/>
          <w:szCs w:val="30"/>
        </w:rPr>
        <w:t xml:space="preserve"> 范围</w:t>
      </w:r>
      <w:bookmarkEnd w:id="2"/>
      <w:bookmarkEnd w:id="3"/>
    </w:p>
    <w:p>
      <w:pPr>
        <w:snapToGrid w:val="0"/>
        <w:spacing w:line="360" w:lineRule="auto"/>
        <w:ind w:firstLine="480" w:firstLineChars="200"/>
        <w:rPr>
          <w:kern w:val="0"/>
          <w:sz w:val="24"/>
        </w:rPr>
      </w:pPr>
      <w:r>
        <w:rPr>
          <w:kern w:val="0"/>
          <w:sz w:val="24"/>
        </w:rPr>
        <w:t>本标准规定了金属非金属地下矿山</w:t>
      </w:r>
      <w:r>
        <w:rPr>
          <w:rFonts w:hint="eastAsia"/>
          <w:kern w:val="0"/>
          <w:sz w:val="24"/>
        </w:rPr>
        <w:t>油料运输、储存、使用</w:t>
      </w:r>
      <w:r>
        <w:rPr>
          <w:kern w:val="0"/>
          <w:sz w:val="24"/>
        </w:rPr>
        <w:t>的技术与管理要求。</w:t>
      </w:r>
    </w:p>
    <w:p>
      <w:pPr>
        <w:snapToGrid w:val="0"/>
        <w:spacing w:line="360" w:lineRule="auto"/>
        <w:ind w:firstLine="480" w:firstLineChars="200"/>
        <w:rPr>
          <w:kern w:val="0"/>
          <w:sz w:val="24"/>
        </w:rPr>
      </w:pPr>
      <w:bookmarkStart w:id="4" w:name="_Toc283103642"/>
      <w:r>
        <w:rPr>
          <w:kern w:val="0"/>
          <w:sz w:val="24"/>
        </w:rPr>
        <w:t>本标准不适用于与煤共生、伴生的</w:t>
      </w:r>
      <w:r>
        <w:rPr>
          <w:sz w:val="24"/>
        </w:rPr>
        <w:t>地下矿山</w:t>
      </w:r>
      <w:r>
        <w:rPr>
          <w:kern w:val="0"/>
          <w:sz w:val="24"/>
        </w:rPr>
        <w:t>。</w:t>
      </w:r>
    </w:p>
    <w:p>
      <w:pPr>
        <w:pStyle w:val="3"/>
        <w:snapToGrid w:val="0"/>
        <w:spacing w:before="156" w:beforeLines="50" w:after="0" w:line="360" w:lineRule="auto"/>
        <w:rPr>
          <w:rFonts w:asciiTheme="minorEastAsia" w:hAnsiTheme="minorEastAsia" w:eastAsiaTheme="minorEastAsia"/>
          <w:bCs w:val="0"/>
          <w:sz w:val="30"/>
          <w:szCs w:val="30"/>
        </w:rPr>
      </w:pPr>
      <w:bookmarkStart w:id="5" w:name="_Toc525635616"/>
      <w:r>
        <w:rPr>
          <w:rFonts w:asciiTheme="minorEastAsia" w:hAnsiTheme="minorEastAsia" w:eastAsiaTheme="minorEastAsia"/>
          <w:bCs w:val="0"/>
          <w:sz w:val="30"/>
          <w:szCs w:val="30"/>
        </w:rPr>
        <w:t>2  规范性引用文件</w:t>
      </w:r>
      <w:bookmarkEnd w:id="4"/>
      <w:bookmarkEnd w:id="5"/>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下列文件对于本文件的应用是必不可少的。凡是注明日期的引用文件，仅注日期的版本适用于本文件。凡是不注明日期的引用文件，其最新版本（包括所有的修改单）适用于本文件。</w:t>
      </w:r>
    </w:p>
    <w:p>
      <w:pPr>
        <w:snapToGrid w:val="0"/>
        <w:spacing w:line="360" w:lineRule="auto"/>
        <w:ind w:firstLine="480" w:firstLineChars="200"/>
        <w:rPr>
          <w:rStyle w:val="24"/>
          <w:rFonts w:asciiTheme="minorEastAsia" w:hAnsiTheme="minorEastAsia" w:eastAsiaTheme="minorEastAsia"/>
          <w:b w:val="0"/>
          <w:bCs w:val="0"/>
          <w:sz w:val="24"/>
        </w:rPr>
      </w:pPr>
      <w:r>
        <w:rPr>
          <w:rFonts w:asciiTheme="minorEastAsia" w:hAnsiTheme="minorEastAsia" w:eastAsiaTheme="minorEastAsia"/>
          <w:sz w:val="24"/>
        </w:rPr>
        <w:t>GB 16423  金属非金属矿山安全规程</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GB 2893   安全色</w:t>
      </w:r>
    </w:p>
    <w:p>
      <w:pPr>
        <w:snapToGrid w:val="0"/>
        <w:spacing w:line="360" w:lineRule="auto"/>
        <w:ind w:firstLine="480" w:firstLineChars="200"/>
        <w:rPr>
          <w:rStyle w:val="24"/>
          <w:rFonts w:asciiTheme="minorEastAsia" w:hAnsiTheme="minorEastAsia" w:eastAsiaTheme="minorEastAsia"/>
          <w:b w:val="0"/>
          <w:sz w:val="24"/>
        </w:rPr>
      </w:pPr>
      <w:r>
        <w:rPr>
          <w:rStyle w:val="24"/>
          <w:rFonts w:asciiTheme="minorEastAsia" w:hAnsiTheme="minorEastAsia" w:eastAsiaTheme="minorEastAsia"/>
          <w:b w:val="0"/>
          <w:sz w:val="24"/>
        </w:rPr>
        <w:t>GB 14161  矿山安全标志</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GB 50630  有色金属工程设计防火规范</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GB 50915  有色金属矿山井巷工程设计规范</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GB 50414  钢铁冶金企业设计防火规范</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GB 19147  车用柴油</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GB 50444  建筑灭火器配置验收及检查规范</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GB 50140  建筑灭火器配置设计规范</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GB 13348  液体石油产品静电安全规程</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GB 15599  石油与石油设施雷电安全规范</w:t>
      </w:r>
    </w:p>
    <w:p>
      <w:pPr>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SH/T 3022 石油化工设备和管道涂料防腐蚀技术规范</w:t>
      </w:r>
    </w:p>
    <w:p>
      <w:pPr>
        <w:pStyle w:val="3"/>
        <w:snapToGrid w:val="0"/>
        <w:spacing w:before="156" w:beforeLines="50" w:after="0" w:line="360" w:lineRule="auto"/>
        <w:rPr>
          <w:rFonts w:asciiTheme="minorEastAsia" w:hAnsiTheme="minorEastAsia" w:eastAsiaTheme="minorEastAsia"/>
          <w:bCs w:val="0"/>
          <w:sz w:val="30"/>
          <w:szCs w:val="30"/>
        </w:rPr>
      </w:pPr>
      <w:bookmarkStart w:id="6" w:name="_Toc283103643"/>
      <w:bookmarkStart w:id="7" w:name="_Toc525635617"/>
      <w:r>
        <w:rPr>
          <w:rFonts w:asciiTheme="minorEastAsia" w:hAnsiTheme="minorEastAsia" w:eastAsiaTheme="minorEastAsia"/>
          <w:bCs w:val="0"/>
          <w:sz w:val="30"/>
          <w:szCs w:val="30"/>
        </w:rPr>
        <w:t>3  术语和定义</w:t>
      </w:r>
      <w:bookmarkEnd w:id="6"/>
      <w:bookmarkEnd w:id="7"/>
    </w:p>
    <w:p>
      <w:pPr>
        <w:snapToGrid w:val="0"/>
        <w:spacing w:line="360" w:lineRule="auto"/>
        <w:rPr>
          <w:rFonts w:ascii="黑体" w:hAnsi="黑体" w:eastAsia="黑体"/>
          <w:sz w:val="24"/>
        </w:rPr>
      </w:pPr>
      <w:bookmarkStart w:id="8" w:name="_Toc283103644"/>
      <w:r>
        <w:rPr>
          <w:rFonts w:ascii="黑体" w:hAnsi="黑体" w:eastAsia="黑体"/>
          <w:b/>
          <w:sz w:val="24"/>
        </w:rPr>
        <w:t>3.1</w:t>
      </w:r>
      <w:r>
        <w:rPr>
          <w:rFonts w:hint="eastAsia" w:ascii="黑体" w:hAnsi="黑体" w:eastAsia="黑体"/>
          <w:sz w:val="24"/>
        </w:rPr>
        <w:t xml:space="preserve"> </w:t>
      </w:r>
      <w:r>
        <w:rPr>
          <w:rFonts w:ascii="黑体" w:hAnsi="黑体" w:eastAsia="黑体"/>
          <w:sz w:val="24"/>
        </w:rPr>
        <w:t>金属非金属地下矿山  metal and nonmetal underground mines</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以平硐、斜井、斜坡道、竖井等作为出入口，深入地表以下，采出供建筑业、工业或加工业用的金属或非金属矿物的采矿场及其附属设施。</w:t>
      </w:r>
    </w:p>
    <w:p>
      <w:pPr>
        <w:snapToGrid w:val="0"/>
        <w:spacing w:line="360" w:lineRule="auto"/>
        <w:rPr>
          <w:rFonts w:ascii="黑体" w:hAnsi="黑体" w:eastAsia="黑体"/>
          <w:sz w:val="24"/>
        </w:rPr>
      </w:pPr>
      <w:r>
        <w:rPr>
          <w:rFonts w:ascii="黑体" w:hAnsi="黑体" w:eastAsia="黑体"/>
          <w:b/>
          <w:sz w:val="24"/>
        </w:rPr>
        <w:t>3.</w:t>
      </w:r>
      <w:bookmarkEnd w:id="8"/>
      <w:r>
        <w:rPr>
          <w:rFonts w:hint="eastAsia" w:ascii="黑体" w:hAnsi="黑体" w:eastAsia="黑体"/>
          <w:b/>
          <w:sz w:val="24"/>
        </w:rPr>
        <w:t xml:space="preserve">2 </w:t>
      </w:r>
      <w:r>
        <w:rPr>
          <w:rFonts w:hint="eastAsia" w:ascii="黑体" w:hAnsi="黑体" w:eastAsia="黑体"/>
          <w:sz w:val="24"/>
        </w:rPr>
        <w:t>油料</w:t>
      </w:r>
      <w:r>
        <w:rPr>
          <w:rFonts w:ascii="黑体" w:hAnsi="黑体" w:eastAsia="黑体"/>
          <w:sz w:val="24"/>
        </w:rPr>
        <w:t xml:space="preserve">  </w:t>
      </w:r>
      <w:r>
        <w:rPr>
          <w:rFonts w:hint="eastAsia" w:ascii="黑体" w:hAnsi="黑体" w:eastAsia="黑体"/>
          <w:sz w:val="24"/>
        </w:rPr>
        <w:t>fuel and other oil products</w:t>
      </w:r>
      <w:r>
        <w:rPr>
          <w:rFonts w:ascii="黑体" w:hAnsi="黑体" w:eastAsia="黑体"/>
          <w:sz w:val="24"/>
        </w:rPr>
        <w:t xml:space="preserve"> </w:t>
      </w:r>
    </w:p>
    <w:p>
      <w:pPr>
        <w:snapToGrid w:val="0"/>
        <w:spacing w:line="360" w:lineRule="auto"/>
        <w:ind w:firstLine="480" w:firstLineChars="200"/>
        <w:rPr>
          <w:rFonts w:asciiTheme="minorEastAsia" w:hAnsiTheme="minorEastAsia" w:eastAsiaTheme="minorEastAsia"/>
          <w:sz w:val="24"/>
        </w:rPr>
      </w:pPr>
      <w:bookmarkStart w:id="9" w:name="_Toc283103645"/>
      <w:r>
        <w:rPr>
          <w:rFonts w:hint="eastAsia" w:asciiTheme="minorEastAsia" w:hAnsiTheme="minorEastAsia" w:eastAsiaTheme="minorEastAsia"/>
          <w:sz w:val="24"/>
        </w:rPr>
        <w:t>本标准所指的油料是指井下设备使用的柴油、液压油、润滑油、机油和其他辅助油品。</w:t>
      </w:r>
      <w:bookmarkEnd w:id="9"/>
    </w:p>
    <w:p>
      <w:pPr>
        <w:snapToGrid w:val="0"/>
        <w:spacing w:line="360" w:lineRule="auto"/>
        <w:rPr>
          <w:rFonts w:ascii="黑体" w:hAnsi="黑体" w:eastAsia="黑体"/>
          <w:sz w:val="24"/>
        </w:rPr>
      </w:pPr>
      <w:r>
        <w:rPr>
          <w:rFonts w:ascii="黑体" w:hAnsi="黑体" w:eastAsia="黑体"/>
          <w:b/>
          <w:sz w:val="24"/>
        </w:rPr>
        <w:t>3.</w:t>
      </w:r>
      <w:r>
        <w:rPr>
          <w:rFonts w:hint="eastAsia" w:ascii="黑体" w:hAnsi="黑体" w:eastAsia="黑体"/>
          <w:b/>
          <w:sz w:val="24"/>
        </w:rPr>
        <w:t xml:space="preserve">3 </w:t>
      </w:r>
      <w:r>
        <w:rPr>
          <w:rFonts w:hint="eastAsia" w:ascii="黑体" w:hAnsi="黑体" w:eastAsia="黑体"/>
          <w:sz w:val="24"/>
        </w:rPr>
        <w:t>油库 storage bay of fuel and other oil products</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本标准所指的油库，如无特别注明，是指井下储存油料的场所，通常是储存油料的硐室</w:t>
      </w:r>
      <w:r>
        <w:rPr>
          <w:rFonts w:asciiTheme="minorEastAsia" w:hAnsiTheme="minorEastAsia" w:eastAsiaTheme="minorEastAsia"/>
          <w:sz w:val="24"/>
        </w:rPr>
        <w:t>。</w:t>
      </w:r>
    </w:p>
    <w:p>
      <w:pPr>
        <w:snapToGrid w:val="0"/>
        <w:spacing w:line="360" w:lineRule="auto"/>
        <w:rPr>
          <w:rFonts w:ascii="黑体" w:hAnsi="黑体" w:eastAsia="黑体"/>
          <w:sz w:val="24"/>
        </w:rPr>
      </w:pPr>
      <w:r>
        <w:rPr>
          <w:rFonts w:hint="eastAsia" w:ascii="黑体" w:hAnsi="黑体" w:eastAsia="黑体"/>
          <w:b/>
          <w:sz w:val="24"/>
        </w:rPr>
        <w:t>3.4</w:t>
      </w:r>
      <w:r>
        <w:rPr>
          <w:rFonts w:hint="eastAsia" w:ascii="黑体" w:hAnsi="黑体" w:eastAsia="黑体"/>
          <w:sz w:val="24"/>
        </w:rPr>
        <w:t xml:space="preserve"> 加油站  refuelling bay</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本标准所指的加油站，如无特别注明，是指井下专门用于为无轨自行设备进行加注油料的场所。加油站通常是和油库连在一起</w:t>
      </w:r>
      <w:r>
        <w:rPr>
          <w:rFonts w:asciiTheme="minorEastAsia" w:hAnsiTheme="minorEastAsia" w:eastAsiaTheme="minorEastAsia"/>
          <w:sz w:val="24"/>
        </w:rPr>
        <w:t>。</w:t>
      </w:r>
    </w:p>
    <w:p>
      <w:pPr>
        <w:pStyle w:val="3"/>
        <w:snapToGrid w:val="0"/>
        <w:spacing w:before="156" w:beforeLines="50" w:after="0" w:line="360" w:lineRule="auto"/>
        <w:rPr>
          <w:rFonts w:asciiTheme="minorEastAsia" w:hAnsiTheme="minorEastAsia" w:eastAsiaTheme="minorEastAsia"/>
          <w:bCs w:val="0"/>
          <w:sz w:val="30"/>
          <w:szCs w:val="30"/>
        </w:rPr>
      </w:pPr>
      <w:bookmarkStart w:id="10" w:name="_Toc525635618"/>
      <w:r>
        <w:rPr>
          <w:rFonts w:hint="eastAsia" w:asciiTheme="minorEastAsia" w:hAnsiTheme="minorEastAsia" w:eastAsiaTheme="minorEastAsia"/>
          <w:bCs w:val="0"/>
          <w:sz w:val="30"/>
          <w:szCs w:val="30"/>
        </w:rPr>
        <w:t>4  一般规定</w:t>
      </w:r>
      <w:bookmarkEnd w:id="10"/>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4.1</w:t>
      </w:r>
      <w:r>
        <w:rPr>
          <w:rFonts w:hint="eastAsia" w:asciiTheme="minorEastAsia" w:hAnsiTheme="minorEastAsia" w:eastAsiaTheme="minorEastAsia"/>
          <w:sz w:val="24"/>
        </w:rPr>
        <w:t xml:space="preserve"> 井下除了柴油外，其他动力燃料，包括汽油、天然气等均不得在井下使用。</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4.2</w:t>
      </w:r>
      <w:r>
        <w:rPr>
          <w:rFonts w:hint="eastAsia" w:asciiTheme="minorEastAsia" w:hAnsiTheme="minorEastAsia" w:eastAsiaTheme="minorEastAsia"/>
          <w:sz w:val="24"/>
        </w:rPr>
        <w:t xml:space="preserve"> 井下柴油的使用和尾气排放应满足《</w:t>
      </w:r>
      <w:r>
        <w:rPr>
          <w:rFonts w:asciiTheme="minorEastAsia" w:hAnsiTheme="minorEastAsia" w:eastAsiaTheme="minorEastAsia"/>
          <w:sz w:val="24"/>
        </w:rPr>
        <w:t>金属非金属矿山安全规程</w:t>
      </w:r>
      <w:r>
        <w:rPr>
          <w:rFonts w:hint="eastAsia" w:asciiTheme="minorEastAsia" w:hAnsiTheme="minorEastAsia" w:eastAsiaTheme="minorEastAsia"/>
          <w:sz w:val="24"/>
        </w:rPr>
        <w:t>》GB16423的有关规定。</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4.3 </w:t>
      </w:r>
      <w:r>
        <w:rPr>
          <w:rFonts w:hint="eastAsia" w:asciiTheme="minorEastAsia" w:hAnsiTheme="minorEastAsia" w:eastAsiaTheme="minorEastAsia"/>
          <w:sz w:val="24"/>
        </w:rPr>
        <w:t>井下使用的柴油应符合《车用柴油》GB19147的规定，宜采用0号及以上的柴油。</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4.4</w:t>
      </w:r>
      <w:r>
        <w:rPr>
          <w:rFonts w:hint="eastAsia" w:asciiTheme="minorEastAsia" w:hAnsiTheme="minorEastAsia" w:eastAsiaTheme="minorEastAsia"/>
          <w:sz w:val="24"/>
        </w:rPr>
        <w:t xml:space="preserve"> 井下各种油料，除各种车辆自身油箱所带以及运输过程中的油料以外，均应储存在油库，并应专人看管。</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4.5 </w:t>
      </w:r>
      <w:r>
        <w:rPr>
          <w:rFonts w:hint="eastAsia" w:asciiTheme="minorEastAsia" w:hAnsiTheme="minorEastAsia" w:eastAsiaTheme="minorEastAsia"/>
          <w:sz w:val="24"/>
        </w:rPr>
        <w:t>井口和平硐口50m范围内的建筑物内不得存放燃油、油脂或其它可燃材料。</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4.6</w:t>
      </w:r>
      <w:r>
        <w:rPr>
          <w:rFonts w:hint="eastAsia" w:asciiTheme="minorEastAsia" w:hAnsiTheme="minorEastAsia" w:eastAsiaTheme="minorEastAsia"/>
          <w:sz w:val="24"/>
        </w:rPr>
        <w:t xml:space="preserve"> 从地表储油区域的自然排水应远离竖井井口和其他矿井井口。</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4.7 </w:t>
      </w:r>
      <w:r>
        <w:rPr>
          <w:rFonts w:hint="eastAsia" w:asciiTheme="minorEastAsia" w:hAnsiTheme="minorEastAsia" w:eastAsiaTheme="minorEastAsia"/>
          <w:sz w:val="24"/>
        </w:rPr>
        <w:t>井下固定柴油设备应安装在不可燃的基础上，并应装有热传感器，当温度过高时能自动停止发动机。</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4.8 </w:t>
      </w:r>
      <w:r>
        <w:rPr>
          <w:rFonts w:hint="eastAsia" w:asciiTheme="minorEastAsia" w:hAnsiTheme="minorEastAsia" w:eastAsiaTheme="minorEastAsia"/>
          <w:sz w:val="24"/>
        </w:rPr>
        <w:t>出入井下的车辆宜优先在地表加油站内进行加油。</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4.9</w:t>
      </w:r>
      <w:r>
        <w:rPr>
          <w:rFonts w:hint="eastAsia" w:asciiTheme="minorEastAsia" w:hAnsiTheme="minorEastAsia" w:eastAsiaTheme="minorEastAsia"/>
          <w:sz w:val="24"/>
        </w:rPr>
        <w:t xml:space="preserve"> 油料在运输、提升的装卸过程中，应轻装轻卸。</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4.10</w:t>
      </w:r>
      <w:r>
        <w:rPr>
          <w:rFonts w:hint="eastAsia" w:asciiTheme="minorEastAsia" w:hAnsiTheme="minorEastAsia" w:eastAsiaTheme="minorEastAsia"/>
          <w:sz w:val="24"/>
        </w:rPr>
        <w:t xml:space="preserve"> 有下列情况之一的，井下柴油发动机应停止工作：</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车辆正在加油时；</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车辆超过10分钟不工作时；</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除远程控制的自动化设备在作业外，车辆无人值守时。</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 </w:t>
      </w:r>
      <w:r>
        <w:rPr>
          <w:rFonts w:hint="eastAsia" w:asciiTheme="minorEastAsia" w:hAnsiTheme="minorEastAsia" w:eastAsiaTheme="minorEastAsia"/>
          <w:sz w:val="24"/>
        </w:rPr>
        <w:t>井下油料溢流物均需要收集或用不可燃材料吸附起来，装入防火容器，并应在24小时内送出地表。</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4.12</w:t>
      </w:r>
      <w:r>
        <w:rPr>
          <w:rFonts w:hint="eastAsia" w:asciiTheme="minorEastAsia" w:hAnsiTheme="minorEastAsia" w:eastAsiaTheme="minorEastAsia"/>
          <w:sz w:val="24"/>
        </w:rPr>
        <w:t xml:space="preserve"> 不得在井下加油站（点）、油库等地点吸烟、点火或使用裸灯，并应在这些地方设置警示标志。</w:t>
      </w:r>
    </w:p>
    <w:p>
      <w:pPr>
        <w:pStyle w:val="3"/>
        <w:snapToGrid w:val="0"/>
        <w:spacing w:before="156" w:beforeLines="50" w:after="0" w:line="360" w:lineRule="auto"/>
        <w:rPr>
          <w:rFonts w:asciiTheme="minorEastAsia" w:hAnsiTheme="minorEastAsia" w:eastAsiaTheme="minorEastAsia"/>
          <w:bCs w:val="0"/>
          <w:sz w:val="30"/>
          <w:szCs w:val="30"/>
        </w:rPr>
      </w:pPr>
      <w:bookmarkStart w:id="11" w:name="_Toc525635619"/>
      <w:r>
        <w:rPr>
          <w:rFonts w:hint="eastAsia" w:asciiTheme="minorEastAsia" w:hAnsiTheme="minorEastAsia" w:eastAsiaTheme="minorEastAsia"/>
          <w:bCs w:val="0"/>
          <w:sz w:val="30"/>
          <w:szCs w:val="30"/>
        </w:rPr>
        <w:t>5  油料运输</w:t>
      </w:r>
      <w:bookmarkEnd w:id="11"/>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5.1 车辆运输</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 </w:t>
      </w:r>
      <w:r>
        <w:rPr>
          <w:rFonts w:hint="eastAsia" w:asciiTheme="minorEastAsia" w:hAnsiTheme="minorEastAsia" w:eastAsiaTheme="minorEastAsia"/>
          <w:sz w:val="24"/>
        </w:rPr>
        <w:t>采用车辆运输油料时，可以采用自身带油罐的专用油车运输，也可采用车辆运输油桶的方式运输。</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5.1.2</w:t>
      </w:r>
      <w:r>
        <w:rPr>
          <w:rFonts w:hint="eastAsia" w:asciiTheme="minorEastAsia" w:hAnsiTheme="minorEastAsia" w:eastAsiaTheme="minorEastAsia"/>
          <w:sz w:val="24"/>
        </w:rPr>
        <w:t xml:space="preserve"> 油料运输车的安全技术要求应满足相关标准和规定。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5.1.3</w:t>
      </w:r>
      <w:r>
        <w:rPr>
          <w:rFonts w:hint="eastAsia" w:asciiTheme="minorEastAsia" w:hAnsiTheme="minorEastAsia" w:eastAsiaTheme="minorEastAsia"/>
          <w:sz w:val="24"/>
        </w:rPr>
        <w:t xml:space="preserve"> 采用车辆运输油料时，应符合下列规定：</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车辆应维护良好、刹车可靠，并应及时清除车上溢出的油料和其他可燃物；</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应采用专门制造的、坚固的、防渗漏的容器进行运输，容器应无腐蚀泄漏部位；</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车辆安全附件、防火帽、导静电拖地带、灭火器材、危化品警示标志、定位系统应配备齐全，并保证完好、有效；</w:t>
      </w:r>
    </w:p>
    <w:p>
      <w:pPr>
        <w:spacing w:line="360" w:lineRule="auto"/>
        <w:ind w:firstLine="477" w:firstLineChars="199"/>
        <w:rPr>
          <w:rFonts w:asciiTheme="minorEastAsia" w:hAnsiTheme="minorEastAsia" w:eastAsiaTheme="minorEastAsia"/>
          <w:sz w:val="24"/>
        </w:rPr>
      </w:pPr>
      <w:r>
        <w:rPr>
          <w:rFonts w:hint="eastAsia" w:asciiTheme="minorEastAsia" w:hAnsiTheme="minorEastAsia" w:eastAsiaTheme="minorEastAsia"/>
          <w:sz w:val="24"/>
        </w:rPr>
        <w:t>——运油车辆的显著位置应有“严禁烟火”标志；</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油罐或油桶不得与其他物料混装；</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油罐或油桶在车辆上应固定牢靠；</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油料运输车辆在井下的行驶速度不超过15km/h，与其他同向运行车辆距离不小于100m；</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向储油罐中送油应采用泵和带有自动关停装置的鹤管来输送，或者采用手动泵；</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在给储油罐加油时应在运油车辆的附近放置标示牌和闪光灯，以警示其他车辆；</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运输人员在上岗前证件和劳动保护用品应齐全合规；出车前应认真执行车辆点检；</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车辆进出厂门、车间和库房，时速不得超过5km；</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禁止下坡时熄火或者空挡滑行；</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行驶到井下关键岔口应停车确认，转弯处应避让行人；</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收车后，驾驶员应对车辆进行相应检查，查看有无泄漏、松动或其它火灾隐患，并及时将隐患报告班长或调度进行处理。</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在地表行驶应遵守国家对地表油罐车运输的相关规定。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5.2 油料管道运输</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5.2.1</w:t>
      </w:r>
      <w:r>
        <w:rPr>
          <w:rFonts w:hint="eastAsia" w:asciiTheme="minorEastAsia" w:hAnsiTheme="minorEastAsia" w:eastAsiaTheme="minorEastAsia"/>
          <w:sz w:val="24"/>
        </w:rPr>
        <w:t xml:space="preserve"> 从地表可通过油料管道输送系统向井下输送柴油、液压油、润滑油等油料。</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5.2.2</w:t>
      </w:r>
      <w:r>
        <w:rPr>
          <w:rFonts w:hint="eastAsia" w:asciiTheme="minorEastAsia" w:hAnsiTheme="minorEastAsia" w:eastAsiaTheme="minorEastAsia"/>
          <w:sz w:val="24"/>
        </w:rPr>
        <w:t xml:space="preserve"> 从地表井口油罐通过管道输送油料到井下油罐时，应符合下列规定：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地表井口油罐仅起中转作用，除为井下供油外，其它时间不应储油；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地表井口给油油罐的容积加上从地表井口油罐到井下油罐之间连接管道的容积总和不应超过地下接受油罐容积的50%；</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地表井口油罐区域应有防雷击的措施，不得在雷击天向油罐加油；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地表井口油罐应安全地围护。油罐周边应有围堤环绕，围堤内的保留容积不应小于最大油罐容积的1.5倍，围堤能够防渗，并能承受当油料充满围堤时的静压水头；</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井下输油管应采用螺纹联接或焊接的钢管，管内径不应大于25mm，以减少当遇到损坏时的溢流量；输油管应能承受工作压力；井巷中的输油管应牢固支撑并定位，输油管应和动力电缆分开布置，并能避免坠落物、容器和车辆的撞击；</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不应在容易发生变形的井筒和巷道采用管道输送油料；输油管宜优先考虑通过钻孔下到井下，管道所处岩层不应发生变形而破坏管道；</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从地表井口油罐到井下储油罐之间的管道宜少设置阀门，以防止堵塞和减少输送过程中油料与空气混合；</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除给井下油罐充油时外，管道中不应储油；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输油管路进入井下之前应设油料过滤装置，并应定期清理；</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每条输送管路只应输送一种油料；</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地表井口油罐和井下油罐均应布置合适的排气口，排气口应高于油罐顶面0.6m以上，排气口宜朝下布置；</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油罐及管道应有防腐措施，应符合国家现行标准《石油化工设备和管道涂料防腐蚀技术规范》SH/T 3022；</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巷道中的输油管应每隔不大于100m距离挂有“严禁烟火”、“油管”等标志；</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重力输送油料时，井下输送管路不应上坡敷设，否则应在垂直管路下口设置中转输送站，采用油泵送至井下储油罐；</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输油管路系统投入使用前应进行测试，避免产生虹吸现象；</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当地表油罐正在向井下油罐送油时，地表油罐自身不应同时被加油；</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当地表井口油罐距管道往下敷设的井口或钻孔较远时，或垂直高差小、井下水平距离长而不能自流输送时，地表或井下应采用输送油泵加压进行送油。</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5.2.3 </w:t>
      </w:r>
      <w:r>
        <w:rPr>
          <w:rFonts w:hint="eastAsia" w:asciiTheme="minorEastAsia" w:hAnsiTheme="minorEastAsia" w:eastAsiaTheme="minorEastAsia"/>
          <w:sz w:val="24"/>
        </w:rPr>
        <w:t>采用管道向井下输送油料时，地表井口油罐应布置在距离井口50m以外，并远离常年最大频率风向的井口上风侧。</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5.2.4</w:t>
      </w:r>
      <w:r>
        <w:rPr>
          <w:rFonts w:hint="eastAsia" w:asciiTheme="minorEastAsia" w:hAnsiTheme="minorEastAsia" w:eastAsiaTheme="minorEastAsia"/>
          <w:sz w:val="24"/>
        </w:rPr>
        <w:t xml:space="preserve"> 地表油罐区和井下储油区之间应有通信联络系统。</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5.2.5</w:t>
      </w:r>
      <w:r>
        <w:rPr>
          <w:rFonts w:hint="eastAsia" w:asciiTheme="minorEastAsia" w:hAnsiTheme="minorEastAsia" w:eastAsiaTheme="minorEastAsia"/>
          <w:sz w:val="24"/>
        </w:rPr>
        <w:t xml:space="preserve"> 当油料管道输送系统垂直管道中未设置减压装置时，其系统的最大高差不应超过500m。</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5.3 竖井、斜井提升油料</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5.3.1</w:t>
      </w:r>
      <w:r>
        <w:rPr>
          <w:rFonts w:hint="eastAsia" w:asciiTheme="minorEastAsia" w:hAnsiTheme="minorEastAsia" w:eastAsiaTheme="minorEastAsia"/>
          <w:sz w:val="24"/>
        </w:rPr>
        <w:t xml:space="preserve"> 当采用竖井提升油料时，应符合下列规定：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装载油料的车辆应停靠平稳，并用阻车器或阻车挡固定车辆前后轮，避免发生移动。油桶或油罐在罐笼和车辆上应平稳放置并固定，避免移动或晃动；</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油桶或油罐不应与其他物料在同次罐笼中混装，也不应与人员在同次罐笼中提升；</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罐笼提升速度不应超过3m/s，吊桶提升速度不应超过1m/s。</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5.3.2</w:t>
      </w:r>
      <w:r>
        <w:rPr>
          <w:rFonts w:hint="eastAsia" w:asciiTheme="minorEastAsia" w:hAnsiTheme="minorEastAsia" w:eastAsiaTheme="minorEastAsia"/>
          <w:sz w:val="24"/>
        </w:rPr>
        <w:t xml:space="preserve"> 当采用斜井提升油料时，应符合下列规定：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油桶或油罐在运输车辆上应平稳放置并固定，避免移动或晃动。</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油桶或油罐不应与其他物料在同次提升中混装，也不应与人员同次提升。</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卷扬机的提升速度不应超过1m/s。</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5.4 有轨电机车运输油料</w:t>
      </w:r>
    </w:p>
    <w:p>
      <w:pPr>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当采用有轨电机车运输油料时，应符合下列规定：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油料运输时应使用平板车单独拉运，油桶或油罐不应与其他物料同车混装运输；</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油桶或油罐在车辆上应平稳放置并固定，避免移动或晃动；</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油桶或油罐应采用不可燃材料制作的覆盖物或挡板进行覆盖或遮挡，防止电机车集电弓运行产生的火花直接溅到油桶或油罐上；</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运输油料的电机车应随车携带灭火器材；</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电机车的运行速度不应超过2m/s。</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5.5 便携式容器加油</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采用便携式容器在井下给柴油发动机加油时，应符合下列规定：</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从油站转到柴油设备的油量一次不应大于50升；</w:t>
      </w:r>
    </w:p>
    <w:p>
      <w:pPr>
        <w:spacing w:line="360" w:lineRule="auto"/>
        <w:ind w:firstLine="479" w:firstLineChars="199"/>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加油完成后应把容器放回到油站，并应不晚于本工作班结束的时间。</w:t>
      </w:r>
    </w:p>
    <w:p>
      <w:pPr>
        <w:pStyle w:val="3"/>
        <w:snapToGrid w:val="0"/>
        <w:spacing w:before="156" w:beforeLines="50" w:after="0" w:line="360" w:lineRule="auto"/>
        <w:rPr>
          <w:rFonts w:asciiTheme="minorEastAsia" w:hAnsiTheme="minorEastAsia" w:eastAsiaTheme="minorEastAsia"/>
          <w:bCs w:val="0"/>
          <w:sz w:val="30"/>
          <w:szCs w:val="30"/>
        </w:rPr>
      </w:pPr>
      <w:bookmarkStart w:id="12" w:name="_Toc525635620"/>
      <w:r>
        <w:rPr>
          <w:rFonts w:hint="eastAsia" w:asciiTheme="minorEastAsia" w:hAnsiTheme="minorEastAsia" w:eastAsiaTheme="minorEastAsia"/>
          <w:bCs w:val="0"/>
          <w:sz w:val="30"/>
          <w:szCs w:val="30"/>
        </w:rPr>
        <w:t>6  井下油料储存</w:t>
      </w:r>
      <w:bookmarkEnd w:id="12"/>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6.1 </w:t>
      </w:r>
      <w:r>
        <w:rPr>
          <w:rFonts w:hint="eastAsia" w:asciiTheme="minorEastAsia" w:hAnsiTheme="minorEastAsia" w:eastAsiaTheme="minorEastAsia"/>
          <w:sz w:val="24"/>
        </w:rPr>
        <w:t>地下油库和加油站均应划分为火灾危险区域。</w:t>
      </w:r>
    </w:p>
    <w:p>
      <w:pPr>
        <w:pStyle w:val="53"/>
        <w:snapToGrid w:val="0"/>
        <w:spacing w:line="360" w:lineRule="auto"/>
        <w:rPr>
          <w:rFonts w:ascii="宋体" w:hAnsi="宋体"/>
          <w:sz w:val="24"/>
          <w:szCs w:val="24"/>
        </w:rPr>
      </w:pPr>
      <w:r>
        <w:rPr>
          <w:rFonts w:hint="eastAsia" w:ascii="宋体" w:hAnsi="宋体"/>
          <w:b/>
          <w:sz w:val="24"/>
          <w:szCs w:val="24"/>
        </w:rPr>
        <w:t>6.2</w:t>
      </w:r>
      <w:r>
        <w:rPr>
          <w:rFonts w:ascii="宋体" w:hAnsi="宋体"/>
          <w:b/>
          <w:sz w:val="24"/>
          <w:szCs w:val="24"/>
        </w:rPr>
        <w:t xml:space="preserve"> </w:t>
      </w:r>
      <w:r>
        <w:rPr>
          <w:rFonts w:ascii="宋体" w:hAnsi="宋体"/>
          <w:sz w:val="24"/>
          <w:szCs w:val="24"/>
        </w:rPr>
        <w:t>井下车库、加油站和储油硐室应符合下列要求：</w:t>
      </w:r>
    </w:p>
    <w:p>
      <w:pPr>
        <w:pStyle w:val="54"/>
        <w:snapToGrid w:val="0"/>
        <w:spacing w:line="360" w:lineRule="auto"/>
        <w:ind w:left="900" w:leftChars="200" w:hanging="480" w:hangingChars="200"/>
        <w:rPr>
          <w:rFonts w:ascii="宋体" w:hAnsi="宋体"/>
          <w:sz w:val="24"/>
          <w:szCs w:val="24"/>
        </w:rPr>
      </w:pPr>
      <w:r>
        <w:rPr>
          <w:rFonts w:ascii="宋体" w:hAnsi="宋体"/>
          <w:sz w:val="24"/>
          <w:szCs w:val="24"/>
        </w:rPr>
        <w:t>——应设在发生火灾或爆炸事故时对井下主要设施及作业区影响最小的位置；</w:t>
      </w:r>
    </w:p>
    <w:p>
      <w:pPr>
        <w:pStyle w:val="54"/>
        <w:snapToGrid w:val="0"/>
        <w:spacing w:line="360" w:lineRule="auto"/>
        <w:ind w:left="900" w:leftChars="200" w:hanging="480" w:hangingChars="200"/>
        <w:rPr>
          <w:rFonts w:ascii="宋体" w:hAnsi="宋体"/>
          <w:sz w:val="24"/>
          <w:szCs w:val="24"/>
        </w:rPr>
      </w:pPr>
      <w:r>
        <w:rPr>
          <w:rFonts w:ascii="宋体" w:hAnsi="宋体"/>
          <w:sz w:val="24"/>
          <w:szCs w:val="24"/>
        </w:rPr>
        <w:t>——加油站</w:t>
      </w:r>
      <w:r>
        <w:rPr>
          <w:rFonts w:hint="eastAsia" w:ascii="宋体" w:hAnsi="宋体"/>
          <w:sz w:val="24"/>
          <w:szCs w:val="24"/>
        </w:rPr>
        <w:t>、</w:t>
      </w:r>
      <w:r>
        <w:rPr>
          <w:rFonts w:ascii="宋体" w:hAnsi="宋体"/>
          <w:sz w:val="24"/>
          <w:szCs w:val="24"/>
        </w:rPr>
        <w:t>储油硐室</w:t>
      </w:r>
      <w:r>
        <w:rPr>
          <w:rFonts w:hint="eastAsia" w:ascii="宋体" w:hAnsi="宋体"/>
          <w:sz w:val="24"/>
          <w:szCs w:val="24"/>
        </w:rPr>
        <w:t>应和</w:t>
      </w:r>
      <w:r>
        <w:rPr>
          <w:rFonts w:ascii="宋体" w:hAnsi="宋体"/>
          <w:sz w:val="24"/>
          <w:szCs w:val="24"/>
        </w:rPr>
        <w:t>车库</w:t>
      </w:r>
      <w:r>
        <w:rPr>
          <w:rFonts w:hint="eastAsia" w:asciiTheme="minorEastAsia" w:hAnsiTheme="minorEastAsia" w:eastAsiaTheme="minorEastAsia"/>
          <w:sz w:val="24"/>
        </w:rPr>
        <w:t>、维修硐室分开设置</w:t>
      </w:r>
      <w:r>
        <w:rPr>
          <w:rFonts w:ascii="宋体" w:hAnsi="宋体"/>
          <w:sz w:val="24"/>
          <w:szCs w:val="24"/>
        </w:rPr>
        <w:t>；</w:t>
      </w:r>
    </w:p>
    <w:p>
      <w:pPr>
        <w:pStyle w:val="54"/>
        <w:snapToGrid w:val="0"/>
        <w:spacing w:line="360" w:lineRule="auto"/>
        <w:ind w:left="900" w:leftChars="200" w:hanging="480" w:hangingChars="200"/>
        <w:rPr>
          <w:rFonts w:ascii="宋体" w:hAnsi="宋体"/>
          <w:sz w:val="24"/>
          <w:szCs w:val="24"/>
        </w:rPr>
      </w:pPr>
      <w:r>
        <w:rPr>
          <w:rFonts w:ascii="宋体" w:hAnsi="宋体"/>
          <w:sz w:val="24"/>
          <w:szCs w:val="24"/>
        </w:rPr>
        <w:t>——应设置防止失控车辆闯入的保护措施；</w:t>
      </w:r>
    </w:p>
    <w:p>
      <w:pPr>
        <w:pStyle w:val="54"/>
        <w:snapToGrid w:val="0"/>
        <w:spacing w:line="360" w:lineRule="auto"/>
        <w:ind w:left="900" w:leftChars="200" w:hanging="480" w:hangingChars="200"/>
        <w:rPr>
          <w:rFonts w:ascii="宋体" w:hAnsi="宋体"/>
          <w:sz w:val="24"/>
          <w:szCs w:val="24"/>
        </w:rPr>
      </w:pPr>
      <w:r>
        <w:rPr>
          <w:rFonts w:ascii="宋体" w:hAnsi="宋体"/>
          <w:sz w:val="24"/>
          <w:szCs w:val="24"/>
        </w:rPr>
        <w:t>——在显著位置设置“严禁烟火”的标志。</w:t>
      </w:r>
    </w:p>
    <w:p>
      <w:pPr>
        <w:snapToGrid w:val="0"/>
        <w:spacing w:line="360" w:lineRule="auto"/>
        <w:ind w:firstLine="354" w:firstLineChars="147"/>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所处岩层不易变形或经支护后不会产生变形，且受岩层转移应力小；</w:t>
      </w:r>
    </w:p>
    <w:p>
      <w:pPr>
        <w:snapToGrid w:val="0"/>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——应采用非可燃性材料进行支护，且硐室内不应有滴水、渗水。</w:t>
      </w:r>
    </w:p>
    <w:p>
      <w:pPr>
        <w:pStyle w:val="53"/>
        <w:snapToGrid w:val="0"/>
        <w:spacing w:line="360" w:lineRule="auto"/>
        <w:rPr>
          <w:rFonts w:ascii="宋体" w:hAnsi="宋体"/>
          <w:sz w:val="24"/>
          <w:szCs w:val="24"/>
        </w:rPr>
      </w:pPr>
      <w:r>
        <w:rPr>
          <w:rFonts w:hint="eastAsia" w:ascii="宋体" w:hAnsi="宋体"/>
          <w:b/>
          <w:sz w:val="24"/>
          <w:szCs w:val="24"/>
        </w:rPr>
        <w:t>6.3</w:t>
      </w:r>
      <w:r>
        <w:rPr>
          <w:rFonts w:hint="eastAsia" w:ascii="宋体" w:hAnsi="宋体"/>
          <w:sz w:val="24"/>
          <w:szCs w:val="24"/>
        </w:rPr>
        <w:t xml:space="preserve"> 储油硐室和加油站应符合下列要求：</w:t>
      </w:r>
    </w:p>
    <w:p>
      <w:pPr>
        <w:pStyle w:val="54"/>
        <w:snapToGrid w:val="0"/>
        <w:spacing w:line="360" w:lineRule="auto"/>
        <w:ind w:left="900" w:leftChars="200" w:hanging="480" w:hangingChars="200"/>
        <w:rPr>
          <w:rFonts w:ascii="宋体" w:hAnsi="宋体"/>
          <w:sz w:val="24"/>
          <w:szCs w:val="24"/>
        </w:rPr>
      </w:pPr>
      <w:r>
        <w:rPr>
          <w:rFonts w:ascii="宋体" w:hAnsi="宋体"/>
          <w:sz w:val="24"/>
          <w:szCs w:val="24"/>
        </w:rPr>
        <w:t>——应有独立回风道</w:t>
      </w:r>
      <w:r>
        <w:rPr>
          <w:rFonts w:hint="eastAsia" w:ascii="宋体" w:hAnsi="宋体"/>
          <w:sz w:val="24"/>
          <w:szCs w:val="24"/>
        </w:rPr>
        <w:t>；</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w:t>
      </w:r>
      <w:r>
        <w:rPr>
          <w:rFonts w:ascii="宋体" w:hAnsi="宋体"/>
          <w:sz w:val="24"/>
          <w:szCs w:val="24"/>
        </w:rPr>
        <w:t>与</w:t>
      </w:r>
      <w:r>
        <w:rPr>
          <w:rFonts w:hint="eastAsia" w:ascii="宋体" w:hAnsi="宋体"/>
          <w:sz w:val="24"/>
          <w:szCs w:val="24"/>
        </w:rPr>
        <w:t>巷道</w:t>
      </w:r>
      <w:r>
        <w:rPr>
          <w:rFonts w:ascii="宋体" w:hAnsi="宋体"/>
          <w:sz w:val="24"/>
          <w:szCs w:val="24"/>
        </w:rPr>
        <w:t>连接处应设甲级防火门</w:t>
      </w:r>
      <w:r>
        <w:rPr>
          <w:rFonts w:hint="eastAsia" w:ascii="宋体" w:hAnsi="宋体"/>
          <w:sz w:val="24"/>
          <w:szCs w:val="24"/>
        </w:rPr>
        <w:t>，</w:t>
      </w:r>
      <w:r>
        <w:rPr>
          <w:rFonts w:hint="eastAsia" w:asciiTheme="minorEastAsia" w:hAnsiTheme="minorEastAsia" w:eastAsiaTheme="minorEastAsia"/>
          <w:sz w:val="24"/>
        </w:rPr>
        <w:t>门应往外开启，隔墙应采用防火材料建造</w:t>
      </w:r>
      <w:r>
        <w:rPr>
          <w:rFonts w:ascii="宋体" w:hAnsi="宋体"/>
          <w:sz w:val="24"/>
          <w:szCs w:val="24"/>
        </w:rPr>
        <w:t>；</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w:t>
      </w:r>
      <w:r>
        <w:rPr>
          <w:rFonts w:ascii="宋体" w:hAnsi="宋体"/>
          <w:sz w:val="24"/>
          <w:szCs w:val="24"/>
        </w:rPr>
        <w:t>储油量不超过三昼夜的需用量</w:t>
      </w:r>
      <w:r>
        <w:rPr>
          <w:rFonts w:hint="eastAsia" w:ascii="宋体" w:hAnsi="宋体"/>
          <w:sz w:val="24"/>
          <w:szCs w:val="24"/>
        </w:rPr>
        <w:t>；</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——每个油罐或者油桶均应有明确标识和编号；</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——储油硐室附近和加油站内应设集油坑；</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——集油坑容积：储存油罐的不小于油罐容积的1.5倍，也可在</w:t>
      </w:r>
      <w:r>
        <w:rPr>
          <w:rFonts w:hint="eastAsia" w:asciiTheme="minorEastAsia" w:hAnsiTheme="minorEastAsia" w:eastAsiaTheme="minorEastAsia"/>
          <w:sz w:val="24"/>
        </w:rPr>
        <w:t>油罐的周边设围堤，围堤内的保留容积应不小于油罐容积的1.5倍，围堤应能防渗，能承受当油料充满围堤时的静压水头</w:t>
      </w:r>
      <w:r>
        <w:rPr>
          <w:rFonts w:hint="eastAsia" w:ascii="宋体" w:hAnsi="宋体"/>
          <w:sz w:val="24"/>
          <w:szCs w:val="24"/>
        </w:rPr>
        <w:t>；储存油桶的不小于最大油桶容积的1.1倍；加油站的不小于0.5m</w:t>
      </w:r>
      <w:r>
        <w:rPr>
          <w:rFonts w:hint="eastAsia" w:ascii="宋体" w:hAnsi="宋体"/>
          <w:sz w:val="24"/>
          <w:szCs w:val="24"/>
          <w:vertAlign w:val="superscript"/>
        </w:rPr>
        <w:t>3</w:t>
      </w:r>
      <w:r>
        <w:rPr>
          <w:rFonts w:hint="eastAsia" w:ascii="宋体" w:hAnsi="宋体"/>
          <w:sz w:val="24"/>
          <w:szCs w:val="24"/>
        </w:rPr>
        <w:t>；</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油罐（或油箱）宜采用专业厂家的定型成品，或按照《钢制焊接常压容器》NB/T 47003.1和相关要求制作；</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——应定期检查油罐，发现泄漏立即停止使用；</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——修理油罐应采取安全措施，经过审批后进行；</w:t>
      </w:r>
    </w:p>
    <w:p>
      <w:pPr>
        <w:snapToGrid w:val="0"/>
        <w:spacing w:line="360" w:lineRule="auto"/>
        <w:ind w:firstLine="480" w:firstLineChars="200"/>
        <w:rPr>
          <w:rFonts w:asciiTheme="minorEastAsia" w:hAnsiTheme="minorEastAsia" w:eastAsiaTheme="minorEastAsia"/>
          <w:sz w:val="24"/>
        </w:rPr>
      </w:pPr>
      <w:r>
        <w:rPr>
          <w:rFonts w:hint="eastAsia" w:ascii="宋体" w:hAnsi="宋体"/>
          <w:sz w:val="24"/>
        </w:rPr>
        <w:t>——油桶应分类摆放整齐，油桶和空桶分开存放，并严密封盖；</w:t>
      </w:r>
      <w:r>
        <w:rPr>
          <w:rFonts w:asciiTheme="minorEastAsia" w:hAnsiTheme="minorEastAsia" w:eastAsiaTheme="minorEastAsia"/>
          <w:sz w:val="24"/>
        </w:rPr>
        <w:t xml:space="preserve"> </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——地面和墙壁应光滑、不渗漏，应有使溢流流向集油坑的坡度；</w:t>
      </w:r>
    </w:p>
    <w:p>
      <w:pPr>
        <w:pStyle w:val="54"/>
        <w:snapToGrid w:val="0"/>
        <w:spacing w:line="360" w:lineRule="auto"/>
        <w:ind w:left="900" w:leftChars="200" w:hanging="480" w:hangingChars="200"/>
        <w:rPr>
          <w:rFonts w:ascii="宋体" w:hAnsi="宋体"/>
          <w:sz w:val="24"/>
          <w:szCs w:val="24"/>
        </w:rPr>
      </w:pPr>
      <w:r>
        <w:rPr>
          <w:rFonts w:hint="eastAsia" w:ascii="宋体" w:hAnsi="宋体"/>
          <w:sz w:val="24"/>
          <w:szCs w:val="24"/>
        </w:rPr>
        <w:t>——收集的油料应尽快运出矿井。</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6.4</w:t>
      </w:r>
      <w:r>
        <w:rPr>
          <w:rFonts w:hint="eastAsia" w:asciiTheme="minorEastAsia" w:hAnsiTheme="minorEastAsia" w:eastAsiaTheme="minorEastAsia"/>
          <w:sz w:val="24"/>
        </w:rPr>
        <w:t xml:space="preserve"> 加油站内应配备合格的加油机，包括配套的软管、加油枪等器具。</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6.5</w:t>
      </w:r>
      <w:r>
        <w:rPr>
          <w:rFonts w:hint="eastAsia" w:asciiTheme="minorEastAsia" w:hAnsiTheme="minorEastAsia" w:eastAsiaTheme="minorEastAsia"/>
          <w:sz w:val="24"/>
        </w:rPr>
        <w:t xml:space="preserve"> 油库和加油站应有良好的贯穿风流或装备有通风设施，保持库内、站内空气质量满足GBZ2的规定。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w:t>
      </w:r>
      <w:r>
        <w:rPr>
          <w:rFonts w:hint="eastAsia" w:asciiTheme="minorEastAsia" w:hAnsiTheme="minorEastAsia" w:eastAsiaTheme="minorEastAsia"/>
          <w:sz w:val="24"/>
        </w:rPr>
        <w:t xml:space="preserve"> 油库和加油站宜装设灭火系统，并在站内便于操作的地方设置多处具有防止误操作的开关，并明显标示。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w:t>
      </w:r>
      <w:r>
        <w:rPr>
          <w:rFonts w:hint="eastAsia" w:asciiTheme="minorEastAsia" w:hAnsiTheme="minorEastAsia" w:eastAsiaTheme="minorEastAsia"/>
          <w:sz w:val="24"/>
        </w:rPr>
        <w:t xml:space="preserve"> 油库和加油站应设有声光报警系统，并与矿山调度系统关联。当油库和加油站内有人时，灭火系统应在报警系统警情响应10秒钟后才能启动。</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6.8</w:t>
      </w:r>
      <w:r>
        <w:rPr>
          <w:rFonts w:hint="eastAsia" w:asciiTheme="minorEastAsia" w:hAnsiTheme="minorEastAsia" w:eastAsiaTheme="minorEastAsia"/>
          <w:sz w:val="24"/>
        </w:rPr>
        <w:t xml:space="preserve"> 油库和加油站应采用防爆型电气设备，并在紧急出口处装有应急照明灯。</w:t>
      </w:r>
    </w:p>
    <w:p>
      <w:pPr>
        <w:spacing w:line="360" w:lineRule="auto"/>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油库和加油站应采取下列预防静电的措施：</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控制加油方式，防止油料喷溅；</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油库内油罐、输油管道、泵等设备、设施应做防静电接地措施；</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作业人员应穿防静电棉质服装，不得穿钉子鞋；</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作业人员不应穿戴用化纤材料制成的衣服、围巾和手套到危险区操作；</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作业人员不应在危险区场所脱掉衣服；</w:t>
      </w:r>
    </w:p>
    <w:p>
      <w:pPr>
        <w:autoSpaceDE w:val="0"/>
        <w:autoSpaceDN w:val="0"/>
        <w:adjustRightInd w:val="0"/>
        <w:spacing w:line="336" w:lineRule="auto"/>
        <w:ind w:left="90" w:leftChars="43" w:firstLine="458" w:firstLineChars="190"/>
        <w:jc w:val="left"/>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作业人员不应用化纤抹布擦试机泵或油罐容器。</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0</w:t>
      </w:r>
      <w:r>
        <w:rPr>
          <w:rFonts w:hint="eastAsia" w:asciiTheme="minorEastAsia" w:hAnsiTheme="minorEastAsia" w:eastAsiaTheme="minorEastAsia"/>
          <w:sz w:val="24"/>
        </w:rPr>
        <w:t xml:space="preserve"> 油库和加油站应设值班岗，安排经培训合格的人员值班，负责库内、站内设施日常检查和维护。</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1</w:t>
      </w: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油库和加油站内禁止使用手提电话、对讲机等通讯设备。</w:t>
      </w:r>
    </w:p>
    <w:p>
      <w:pPr>
        <w:pStyle w:val="3"/>
        <w:snapToGrid w:val="0"/>
        <w:spacing w:before="156" w:beforeLines="50" w:after="0" w:line="360" w:lineRule="auto"/>
        <w:rPr>
          <w:rFonts w:asciiTheme="minorEastAsia" w:hAnsiTheme="minorEastAsia" w:eastAsiaTheme="minorEastAsia"/>
          <w:bCs w:val="0"/>
          <w:sz w:val="30"/>
          <w:szCs w:val="30"/>
        </w:rPr>
      </w:pPr>
      <w:bookmarkStart w:id="13" w:name="_Toc525635621"/>
      <w:r>
        <w:rPr>
          <w:rFonts w:hint="eastAsia" w:asciiTheme="minorEastAsia" w:hAnsiTheme="minorEastAsia" w:eastAsiaTheme="minorEastAsia"/>
          <w:bCs w:val="0"/>
          <w:sz w:val="30"/>
          <w:szCs w:val="30"/>
        </w:rPr>
        <w:t>7  油料使用</w:t>
      </w:r>
      <w:bookmarkEnd w:id="13"/>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7.1</w:t>
      </w:r>
      <w:r>
        <w:rPr>
          <w:rFonts w:hint="eastAsia" w:asciiTheme="minorEastAsia" w:hAnsiTheme="minorEastAsia" w:eastAsiaTheme="minorEastAsia"/>
          <w:sz w:val="24"/>
        </w:rPr>
        <w:t>井下燃油设备或液压设备不应漏油，出现漏油应及时处理。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b/>
          <w:sz w:val="24"/>
        </w:rPr>
        <w:t>2</w:t>
      </w:r>
      <w:r>
        <w:rPr>
          <w:rFonts w:hint="eastAsia" w:asciiTheme="minorEastAsia" w:hAnsiTheme="minorEastAsia" w:eastAsiaTheme="minorEastAsia"/>
          <w:sz w:val="24"/>
        </w:rPr>
        <w:t xml:space="preserve"> 车辆加油时，应采用输油泵或唧管输油，操作人员应按规范进行操作；加油过程中应严格控制加油的速度；发生跑、冒、漏油时，应及时处理。</w:t>
      </w:r>
    </w:p>
    <w:p>
      <w:pPr>
        <w:spacing w:line="360" w:lineRule="auto"/>
        <w:rPr>
          <w:rFonts w:asciiTheme="minorEastAsia" w:hAnsiTheme="minorEastAsia" w:eastAsiaTheme="minorEastAsia"/>
          <w:sz w:val="24"/>
        </w:rPr>
      </w:pPr>
      <w:r>
        <w:rPr>
          <w:rFonts w:asciiTheme="minorEastAsia" w:hAnsiTheme="minorEastAsia" w:eastAsiaTheme="minorEastAsia"/>
          <w:b/>
          <w:sz w:val="24"/>
        </w:rPr>
        <w:t>7.3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禁止热车加油，加油前应熄火或怠速降温5</w:t>
      </w:r>
      <w:r>
        <w:rPr>
          <w:rFonts w:eastAsiaTheme="minorEastAsia"/>
          <w:sz w:val="24"/>
        </w:rPr>
        <w:t>~</w:t>
      </w:r>
      <w:r>
        <w:rPr>
          <w:rFonts w:hint="eastAsia" w:asciiTheme="minorEastAsia" w:hAnsiTheme="minorEastAsia" w:eastAsiaTheme="minorEastAsia"/>
          <w:sz w:val="24"/>
        </w:rPr>
        <w:t>10分钟。</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b/>
          <w:sz w:val="24"/>
        </w:rPr>
        <w:t>4</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车辆应在加油站进行加油。当车辆无法在加油站加油时，宜采用专用无轨油料运输车在通风良好的指定加油点进行加油。采用油料运输车加油时，应符合下列规定：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加油点宜在回风侧的平缓地段，其位置选择应参考第6.2条；</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加油点应配备足够的消防器材；</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油料运输车和被加油车辆应停靠平稳；</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油料运输车应闪烁灯光示警；</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油料运输车30m范围内不应有动火作业和产生电火花、抽烟等行为。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7.5</w:t>
      </w:r>
      <w:r>
        <w:rPr>
          <w:rFonts w:hint="eastAsia" w:asciiTheme="minorEastAsia" w:hAnsiTheme="minorEastAsia" w:eastAsiaTheme="minorEastAsia"/>
          <w:sz w:val="24"/>
        </w:rPr>
        <w:t xml:space="preserve"> 油料运输车在不使用时，应停在加油站或加油点。</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7.6 </w:t>
      </w:r>
      <w:r>
        <w:rPr>
          <w:rFonts w:hint="eastAsia" w:asciiTheme="minorEastAsia" w:hAnsiTheme="minorEastAsia" w:eastAsiaTheme="minorEastAsia"/>
          <w:sz w:val="24"/>
        </w:rPr>
        <w:t>只有在特殊情况下，可以采用便携式容器给车辆进行少量加油。用便携式容器给车辆进行加油时，应符合下列规定：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w:t>
      </w:r>
      <w:r>
        <w:rPr>
          <w:rFonts w:hint="eastAsia" w:asciiTheme="minorEastAsia" w:hAnsiTheme="minorEastAsia" w:eastAsiaTheme="minorEastAsia"/>
          <w:sz w:val="24"/>
        </w:rPr>
        <w:t>被加油车辆应停靠平稳；</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color w:val="000000"/>
          <w:sz w:val="24"/>
        </w:rPr>
        <w:t>——</w:t>
      </w:r>
      <w:r>
        <w:rPr>
          <w:rFonts w:hint="eastAsia" w:asciiTheme="minorEastAsia" w:hAnsiTheme="minorEastAsia" w:eastAsiaTheme="minorEastAsia"/>
          <w:sz w:val="24"/>
        </w:rPr>
        <w:t>被加油车辆应闪烁灯光示警；</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color w:val="000000"/>
          <w:sz w:val="24"/>
        </w:rPr>
        <w:t>——</w:t>
      </w:r>
      <w:r>
        <w:rPr>
          <w:rFonts w:hint="eastAsia" w:asciiTheme="minorEastAsia" w:hAnsiTheme="minorEastAsia" w:eastAsiaTheme="minorEastAsia"/>
          <w:sz w:val="24"/>
        </w:rPr>
        <w:t>在加油处周边30m范围内不应有动火作业和产生电火花、抽烟等行为。</w:t>
      </w:r>
    </w:p>
    <w:p>
      <w:pPr>
        <w:pStyle w:val="3"/>
        <w:snapToGrid w:val="0"/>
        <w:spacing w:before="156" w:beforeLines="50" w:after="0" w:line="360" w:lineRule="auto"/>
        <w:rPr>
          <w:rFonts w:asciiTheme="minorEastAsia" w:hAnsiTheme="minorEastAsia" w:eastAsiaTheme="minorEastAsia"/>
          <w:bCs w:val="0"/>
          <w:sz w:val="30"/>
          <w:szCs w:val="30"/>
        </w:rPr>
      </w:pPr>
      <w:bookmarkStart w:id="14" w:name="_Toc525635622"/>
      <w:r>
        <w:rPr>
          <w:rFonts w:hint="eastAsia" w:asciiTheme="minorEastAsia" w:hAnsiTheme="minorEastAsia" w:eastAsiaTheme="minorEastAsia"/>
          <w:bCs w:val="0"/>
          <w:sz w:val="30"/>
          <w:szCs w:val="30"/>
        </w:rPr>
        <w:t>8  消防</w:t>
      </w:r>
      <w:bookmarkEnd w:id="14"/>
    </w:p>
    <w:p>
      <w:pPr>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 xml:space="preserve">8.1 </w:t>
      </w:r>
      <w:r>
        <w:rPr>
          <w:rFonts w:hint="eastAsia" w:asciiTheme="minorEastAsia" w:hAnsiTheme="minorEastAsia" w:eastAsiaTheme="minorEastAsia"/>
          <w:sz w:val="24"/>
        </w:rPr>
        <w:t>井下无轨车辆和井下固定柴油设备应配备便携式灭火器，宜配置泡沫灭火系统。</w:t>
      </w:r>
    </w:p>
    <w:p>
      <w:pPr>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 xml:space="preserve">8.2 </w:t>
      </w:r>
      <w:r>
        <w:rPr>
          <w:rFonts w:hint="eastAsia" w:asciiTheme="minorEastAsia" w:hAnsiTheme="minorEastAsia" w:eastAsiaTheme="minorEastAsia"/>
          <w:sz w:val="24"/>
        </w:rPr>
        <w:t>油库和加油站应配置消防器材，包括灭火器、消防沙、铁铲和消防桶等，灭火器的数量及规格应符合《建筑灭火器配置设计规范》GB50140规定，灭火器材的质量和设置要求应符合《建筑灭火器配置验收及检查规范》GB50444的规定。宜配置泡沫灭火系统。</w:t>
      </w:r>
    </w:p>
    <w:p>
      <w:pPr>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 xml:space="preserve">8.3 </w:t>
      </w:r>
      <w:r>
        <w:rPr>
          <w:rFonts w:hint="eastAsia" w:asciiTheme="minorEastAsia" w:hAnsiTheme="minorEastAsia" w:eastAsiaTheme="minorEastAsia"/>
          <w:sz w:val="24"/>
        </w:rPr>
        <w:t>消防器材应位于上风向便于人员拿到的地方，并明显标示。</w:t>
      </w:r>
    </w:p>
    <w:p>
      <w:pPr>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 xml:space="preserve">8.4 </w:t>
      </w:r>
      <w:r>
        <w:rPr>
          <w:rFonts w:hint="eastAsia" w:asciiTheme="minorEastAsia" w:hAnsiTheme="minorEastAsia" w:eastAsiaTheme="minorEastAsia"/>
          <w:sz w:val="24"/>
        </w:rPr>
        <w:t>消防器材应符合《建筑灭火器配置验收及检查规范》GB50444的规定，并应进行定期检测、维护和更换。</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8.5</w:t>
      </w:r>
      <w:r>
        <w:rPr>
          <w:rFonts w:hint="eastAsia" w:asciiTheme="minorEastAsia" w:hAnsiTheme="minorEastAsia" w:eastAsiaTheme="minorEastAsia"/>
          <w:sz w:val="24"/>
        </w:rPr>
        <w:t xml:space="preserve"> 油库和加油站、加油点内严禁堆放除规定油料外的易燃易爆物。</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 xml:space="preserve">8.6 </w:t>
      </w:r>
      <w:r>
        <w:rPr>
          <w:rFonts w:hint="eastAsia" w:asciiTheme="minorEastAsia" w:hAnsiTheme="minorEastAsia" w:eastAsiaTheme="minorEastAsia"/>
          <w:sz w:val="24"/>
        </w:rPr>
        <w:t>油库和加油站、加油点内电气线路应采用阻燃电缆和防爆灯具，并应经常检查，防止短路。</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8.7</w:t>
      </w:r>
      <w:r>
        <w:rPr>
          <w:rFonts w:hint="eastAsia" w:asciiTheme="minorEastAsia" w:hAnsiTheme="minorEastAsia" w:eastAsiaTheme="minorEastAsia"/>
          <w:sz w:val="24"/>
        </w:rPr>
        <w:t xml:space="preserve"> 当油库和加油站内必须动火作业时，应提前办理动火审批手续，明确安全防火措施，移除存放油料，并派驻现场监护人。</w:t>
      </w:r>
    </w:p>
    <w:p>
      <w:pPr>
        <w:snapToGrid w:val="0"/>
        <w:spacing w:line="360" w:lineRule="auto"/>
        <w:rPr>
          <w:rFonts w:asciiTheme="minorEastAsia" w:hAnsiTheme="minorEastAsia" w:eastAsiaTheme="minorEastAsia"/>
          <w:sz w:val="24"/>
        </w:rPr>
      </w:pPr>
      <w:r>
        <w:rPr>
          <w:rFonts w:asciiTheme="minorEastAsia" w:hAnsiTheme="minorEastAsia" w:eastAsiaTheme="minorEastAsia"/>
          <w:b/>
          <w:color w:val="000000"/>
          <w:sz w:val="24"/>
        </w:rPr>
        <w:t>8</w:t>
      </w:r>
      <w:r>
        <w:rPr>
          <w:rFonts w:hint="eastAsia" w:asciiTheme="minorEastAsia" w:hAnsiTheme="minorEastAsia" w:eastAsiaTheme="minorEastAsia"/>
          <w:b/>
          <w:color w:val="000000"/>
          <w:sz w:val="24"/>
        </w:rPr>
        <w:t>.</w:t>
      </w:r>
      <w:r>
        <w:rPr>
          <w:rFonts w:asciiTheme="minorEastAsia" w:hAnsiTheme="minorEastAsia" w:eastAsiaTheme="minorEastAsia"/>
          <w:b/>
          <w:color w:val="000000"/>
          <w:sz w:val="24"/>
        </w:rPr>
        <w:t>8</w:t>
      </w:r>
      <w:r>
        <w:rPr>
          <w:rFonts w:hint="eastAsia" w:asciiTheme="minorEastAsia" w:hAnsiTheme="minorEastAsia" w:eastAsiaTheme="minorEastAsia"/>
          <w:b/>
          <w:color w:val="000000"/>
          <w:sz w:val="24"/>
        </w:rPr>
        <w:t xml:space="preserve"> </w:t>
      </w:r>
      <w:r>
        <w:rPr>
          <w:rFonts w:hint="eastAsia" w:asciiTheme="minorEastAsia" w:hAnsiTheme="minorEastAsia" w:eastAsiaTheme="minorEastAsia"/>
          <w:sz w:val="24"/>
        </w:rPr>
        <w:t>严禁携带火柴、打火机及其它火种进入油库。</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8.9</w:t>
      </w:r>
      <w:r>
        <w:rPr>
          <w:rFonts w:hint="eastAsia" w:asciiTheme="minorEastAsia" w:hAnsiTheme="minorEastAsia" w:eastAsiaTheme="minorEastAsia"/>
          <w:sz w:val="24"/>
        </w:rPr>
        <w:t xml:space="preserve"> 严禁无关人员进入油库和加油站。</w:t>
      </w:r>
    </w:p>
    <w:p>
      <w:pPr>
        <w:pStyle w:val="3"/>
        <w:snapToGrid w:val="0"/>
        <w:spacing w:before="156" w:beforeLines="50" w:after="0" w:line="360" w:lineRule="auto"/>
        <w:rPr>
          <w:rFonts w:asciiTheme="minorEastAsia" w:hAnsiTheme="minorEastAsia" w:eastAsiaTheme="minorEastAsia"/>
          <w:bCs w:val="0"/>
          <w:sz w:val="30"/>
          <w:szCs w:val="30"/>
        </w:rPr>
      </w:pPr>
      <w:bookmarkStart w:id="15" w:name="_Toc525635623"/>
      <w:r>
        <w:rPr>
          <w:rFonts w:hint="eastAsia" w:asciiTheme="minorEastAsia" w:hAnsiTheme="minorEastAsia" w:eastAsiaTheme="minorEastAsia"/>
          <w:bCs w:val="0"/>
          <w:sz w:val="30"/>
          <w:szCs w:val="30"/>
        </w:rPr>
        <w:t>9  管理制度和应急响应</w:t>
      </w:r>
      <w:bookmarkEnd w:id="15"/>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color w:val="000000"/>
          <w:sz w:val="24"/>
        </w:rPr>
        <w:t>9.1</w:t>
      </w:r>
      <w:r>
        <w:rPr>
          <w:rFonts w:hint="eastAsia" w:asciiTheme="minorEastAsia" w:hAnsiTheme="minorEastAsia" w:eastAsiaTheme="minorEastAsia"/>
          <w:sz w:val="24"/>
        </w:rPr>
        <w:t xml:space="preserve"> 矿山应制定下列制度或规定：油料运输作业安全管理制度、油料装卸作业安全管理制度、油料加油作业安全操作规程和登记使用制度、油库和加油站日常安全管理和检维修安全管理制度、油库和加油站进出车和人员管理制度、特种作业人员管理制度、油料储存管理制度、油料安全防火规定等，矿山也可根据实际情况制定其他相关制度或规定。</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9.2 </w:t>
      </w:r>
      <w:r>
        <w:rPr>
          <w:rFonts w:hint="eastAsia" w:asciiTheme="minorEastAsia" w:hAnsiTheme="minorEastAsia" w:eastAsiaTheme="minorEastAsia"/>
          <w:sz w:val="24"/>
        </w:rPr>
        <w:t>矿山应制定油料运输、储存和使用的安全应急预案，并定期进行演练。相关人员应熟悉应急预案内容和职责，并能熟练操作消防设施器材及其他相关安全设备或器材。</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9.3</w:t>
      </w:r>
      <w:r>
        <w:rPr>
          <w:rFonts w:hint="eastAsia" w:asciiTheme="minorEastAsia" w:hAnsiTheme="minorEastAsia" w:eastAsiaTheme="minorEastAsia"/>
          <w:sz w:val="24"/>
        </w:rPr>
        <w:t xml:space="preserve"> 应在油库、加油站和加油点的明显位置张贴警示标志、作业规章制度和应急措施须知。</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b/>
          <w:sz w:val="24"/>
        </w:rPr>
        <w:t xml:space="preserve">9.4 </w:t>
      </w:r>
      <w:r>
        <w:rPr>
          <w:rFonts w:hint="eastAsia" w:asciiTheme="minorEastAsia" w:hAnsiTheme="minorEastAsia" w:eastAsiaTheme="minorEastAsia"/>
          <w:sz w:val="24"/>
        </w:rPr>
        <w:t>除了进行油料运输、储存和使用的日常工作外，油库或加油站的其他工作均应办理报批手续，经矿山主管矿长或部门主管同意后方可进行，作业人员对现场安全负责，直至工作结束恢复安全状态为止。</w:t>
      </w:r>
    </w:p>
    <w:p>
      <w:pPr>
        <w:snapToGrid w:val="0"/>
        <w:spacing w:line="360" w:lineRule="auto"/>
        <w:rPr>
          <w:rFonts w:hint="eastAsia" w:asciiTheme="minorEastAsia" w:hAnsiTheme="minorEastAsia" w:eastAsiaTheme="minorEastAsia"/>
          <w:sz w:val="24"/>
        </w:rPr>
        <w:sectPr>
          <w:footerReference r:id="rId7" w:type="default"/>
          <w:pgSz w:w="11906" w:h="16838"/>
          <w:pgMar w:top="1440" w:right="1644" w:bottom="1440" w:left="1701" w:header="851" w:footer="992" w:gutter="0"/>
          <w:pgNumType w:fmt="decimal" w:start="1"/>
          <w:cols w:space="720" w:num="1"/>
          <w:docGrid w:type="lines" w:linePitch="312" w:charSpace="0"/>
        </w:sectPr>
      </w:pPr>
    </w:p>
    <w:p>
      <w:pPr>
        <w:snapToGrid w:val="0"/>
        <w:spacing w:line="360" w:lineRule="auto"/>
        <w:rPr>
          <w:rFonts w:hint="eastAsia" w:asciiTheme="minorEastAsia" w:hAnsiTheme="minorEastAsia" w:eastAsiaTheme="minorEastAsia"/>
          <w:sz w:val="24"/>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w:t>
      </w:r>
      <w:r>
        <w:rPr>
          <w:rFonts w:hint="eastAsia" w:eastAsia="黑体"/>
          <w:bCs/>
          <w:sz w:val="32"/>
          <w:szCs w:val="32"/>
        </w:rPr>
        <w:t>金属非金属地下矿山油料运输、储存、使用指南</w:t>
      </w:r>
      <w:r>
        <w:rPr>
          <w:rFonts w:hint="eastAsia" w:ascii="黑体" w:hAnsi="黑体" w:eastAsia="黑体"/>
          <w:sz w:val="32"/>
          <w:szCs w:val="32"/>
        </w:rPr>
        <w:t>》</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标准编制说明</w:t>
      </w:r>
    </w:p>
    <w:p>
      <w:pPr>
        <w:snapToGrid w:val="0"/>
        <w:spacing w:line="360" w:lineRule="auto"/>
        <w:jc w:val="left"/>
        <w:rPr>
          <w:rFonts w:ascii="黑体" w:hAnsi="黑体" w:eastAsia="黑体"/>
          <w:sz w:val="30"/>
          <w:szCs w:val="30"/>
        </w:rPr>
      </w:pPr>
      <w:r>
        <w:rPr>
          <w:rFonts w:hint="eastAsia" w:ascii="黑体" w:hAnsi="黑体" w:eastAsia="黑体"/>
          <w:sz w:val="30"/>
          <w:szCs w:val="30"/>
        </w:rPr>
        <w:t>一、工作简况</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（1）任务来源</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2018年4月13日，中华人民共和国应急管理部下发了《应急管理部关于印发2018年安全生产行业标准编制修订计划的通知》应急函[2018]9号，根据通知要求编制本标准。</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（2）起草单位</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牵头起草单位：中国恩菲工程技术有限公司。</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参加起草单位：金川集团股份有限公司、长沙矿山研究院有限责任公司。</w:t>
      </w:r>
    </w:p>
    <w:p>
      <w:pPr>
        <w:snapToGrid w:val="0"/>
        <w:spacing w:line="360" w:lineRule="auto"/>
        <w:ind w:firstLine="6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（3）起草人员</w:t>
      </w:r>
    </w:p>
    <w:p>
      <w:pPr>
        <w:snapToGrid w:val="0"/>
        <w:spacing w:line="360" w:lineRule="auto"/>
        <w:ind w:firstLine="6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刘育明  夏长念  张爱民  鲁江辉  贺建国  尹卫东  邹 龙  马俊生  张洪海  陈小伟  吴世剑  </w:t>
      </w:r>
      <w:r>
        <w:rPr>
          <w:rFonts w:hint="eastAsia" w:asciiTheme="minorEastAsia" w:hAnsiTheme="minorEastAsia" w:eastAsiaTheme="minorEastAsia"/>
          <w:color w:val="FF0000"/>
          <w:sz w:val="24"/>
        </w:rPr>
        <w:t>（暂定，待调整）</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（4）标准形成过程</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1）组建编制组</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2018年4月，中国恩菲工程技术有限公司接到通知后，迅速确定了参编单位，并组建了《指南》编制组。</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经过协商沟通，最终确定了三个编制单位，分别为：</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中国恩菲工程技术有限公司（第一起草单位）</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金川集团股份有限公司（参编单位）</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长沙矿山研究院有限责任公司（参编单位）</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参编单位确定后，明确了具体参编人员，其中编写组组长为中国恩菲副总工程师刘育明，制定了任务分工和工作计划，并立即开始了标准具体制定工作。</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2）矿山考察</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2018年6月，恩菲团队共考察了4座国内矿山和1座国外矿山，分别为：草楼铁矿、李楼铁矿、安庆铜矿、金川镍矿和谦比希铜矿。</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1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①</w:t>
      </w:r>
      <w:r>
        <w:rPr>
          <w:rFonts w:asciiTheme="minorEastAsia" w:hAnsiTheme="minorEastAsia" w:eastAsiaTheme="minorEastAsia"/>
          <w:sz w:val="24"/>
        </w:rPr>
        <w:fldChar w:fldCharType="end"/>
      </w:r>
      <w:r>
        <w:rPr>
          <w:rFonts w:hint="eastAsia" w:asciiTheme="minorEastAsia" w:hAnsiTheme="minorEastAsia" w:eastAsiaTheme="minorEastAsia"/>
          <w:sz w:val="24"/>
        </w:rPr>
        <w:t xml:space="preserve"> 草楼铁矿</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矿山主要使用的油类有0#柴油、润滑油、液压油和机油，其中柴油使用量最大。在副井旁设有地表油罐，设置有4个油箱，各油箱使用管道连接，储油量为10t，用作中转油罐。井下的柴油通过输油管道经井筒输送到井下-395m水平储油硐室和-230m水平储油硐室。输油管选用6分（外径26.9mm，壁厚2.8mm）的镀锌管。储油硐室内设有柴油箱储存柴油，油桶储存其他油料，硐室外设有消防砂和灭火器。-230m水平硐室两端设有栅栏门，有贯通风流，采用手动加油枪加油。</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2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②</w:t>
      </w:r>
      <w:r>
        <w:rPr>
          <w:rFonts w:asciiTheme="minorEastAsia" w:hAnsiTheme="minorEastAsia" w:eastAsiaTheme="minorEastAsia"/>
          <w:sz w:val="24"/>
        </w:rPr>
        <w:fldChar w:fldCharType="end"/>
      </w:r>
      <w:r>
        <w:rPr>
          <w:rFonts w:hint="eastAsia" w:asciiTheme="minorEastAsia" w:hAnsiTheme="minorEastAsia" w:eastAsiaTheme="minorEastAsia"/>
          <w:sz w:val="24"/>
        </w:rPr>
        <w:t>李楼铁矿</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地表设有一个撬装式油箱，容量35t</w:t>
      </w:r>
      <w:r>
        <w:rPr>
          <w:rFonts w:eastAsiaTheme="minorEastAsia"/>
          <w:sz w:val="24"/>
        </w:rPr>
        <w:t>~</w:t>
      </w:r>
      <w:r>
        <w:rPr>
          <w:rFonts w:hint="eastAsia" w:asciiTheme="minorEastAsia" w:hAnsiTheme="minorEastAsia" w:eastAsiaTheme="minorEastAsia"/>
          <w:sz w:val="24"/>
        </w:rPr>
        <w:t>40t。柴油运输采用油罐车运输到井下，利用车载油泵泵入燃油硐室中的柴油箱中。李楼矿区-300m中段设有储油硐室，内置有一个柴油箱、桶装液压油和润滑油，柴油箱容积3000L。硐室两端和中段巷道联通，两端均设有栅栏门，有贯通风流。硐室入口设加油站，利用电动加油枪加油给柴油铲运机和运输卡车加油。-400m中段柴油设备在维修硐室中由油罐车直接加油。另外，每个水平设4个</w:t>
      </w:r>
      <w:r>
        <w:rPr>
          <w:rFonts w:eastAsiaTheme="minorEastAsia"/>
          <w:sz w:val="24"/>
        </w:rPr>
        <w:t>~</w:t>
      </w:r>
      <w:r>
        <w:rPr>
          <w:rFonts w:hint="eastAsia" w:asciiTheme="minorEastAsia" w:hAnsiTheme="minorEastAsia" w:eastAsiaTheme="minorEastAsia"/>
          <w:sz w:val="24"/>
        </w:rPr>
        <w:t>5个油料临时存放点，用于存放液压油和润滑油。</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3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③</w:t>
      </w:r>
      <w:r>
        <w:rPr>
          <w:rFonts w:asciiTheme="minorEastAsia" w:hAnsiTheme="minorEastAsia" w:eastAsiaTheme="minorEastAsia"/>
          <w:sz w:val="24"/>
        </w:rPr>
        <w:fldChar w:fldCharType="end"/>
      </w:r>
      <w:r>
        <w:rPr>
          <w:rFonts w:hint="eastAsia" w:asciiTheme="minorEastAsia" w:hAnsiTheme="minorEastAsia" w:eastAsiaTheme="minorEastAsia"/>
          <w:sz w:val="24"/>
        </w:rPr>
        <w:t>安庆铜矿</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矿山设地表油库，设有4个油罐，均埋于地下，井下无轨设备维修硐室储油箱。柴油运输采用专用油料运输车辆运输，专职司机驾驶。井下柴油设备有铲运机和服务车，均在-510m维修硐室加油，利用电动加油枪加油。</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4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④</w:t>
      </w:r>
      <w:r>
        <w:rPr>
          <w:rFonts w:asciiTheme="minorEastAsia" w:hAnsiTheme="minorEastAsia" w:eastAsiaTheme="minorEastAsia"/>
          <w:sz w:val="24"/>
        </w:rPr>
        <w:fldChar w:fldCharType="end"/>
      </w:r>
      <w:r>
        <w:rPr>
          <w:rFonts w:hint="eastAsia" w:asciiTheme="minorEastAsia" w:hAnsiTheme="minorEastAsia" w:eastAsiaTheme="minorEastAsia"/>
          <w:sz w:val="24"/>
        </w:rPr>
        <w:t>金川镍矿</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硐室内柴油使用储油罐储存，其他使用量较少的油料采用油桶储存。各种用油设备必须到油库门口加油，其他位置不允许加油。当硐室内油料不足时，油罐车从地表直接开至坑内油料库，给硐室内的储油罐加油。硐室内不同油类分开存放，并有明显的标识牌，这样便于油料的管理使用，避免出现加错油品的现象。硐室门口存放油各类消防设施，包括灭火器，沙子等。硐室门口设有油料使用登记台帐和安全检查记录，详细记录加油时间、加油种类、加油量和对硐室内安全设施的检查情况。</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5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⑤</w:t>
      </w:r>
      <w:r>
        <w:rPr>
          <w:rFonts w:asciiTheme="minorEastAsia" w:hAnsiTheme="minorEastAsia" w:eastAsiaTheme="minorEastAsia"/>
          <w:sz w:val="24"/>
        </w:rPr>
        <w:fldChar w:fldCharType="end"/>
      </w:r>
      <w:r>
        <w:rPr>
          <w:rFonts w:hint="eastAsia" w:asciiTheme="minorEastAsia" w:hAnsiTheme="minorEastAsia" w:eastAsiaTheme="minorEastAsia"/>
          <w:sz w:val="24"/>
        </w:rPr>
        <w:t>谦比希铜矿</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谦比希铜矿东南矿体主要使用的油类包括柴油、润滑油、液压油。在地表工业场地设置独立的储油站，储油站内含有4个柴油罐、1个润滑油罐、1个液压油罐，每个油罐容积为46m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，输油管道通过地沟预埋的方式将井下所需的各类油输送至副井井口附近的中转油罐，中转油罐共3个，容积均为2.2m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井下的油类通过安设在副井（直径Φ7.2m）钢梁上的3根输油管道（其中1根外径Φ104mm、2根外径Φ60mm）输送到井下各生产水平的储油硐室。前期使用的储油硐室包括南采区680m水平、南采区800m水平和北采区980m水平的储油硐室，每个硐室均设有各类油料的储存罐（容积为2.2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和12.5m</w:t>
      </w:r>
      <w:r>
        <w:rPr>
          <w:rFonts w:hint="eastAsia" w:asciiTheme="minorEastAsia" w:hAnsiTheme="minorEastAsia" w:eastAsiaTheme="minorEastAsia"/>
          <w:sz w:val="24"/>
          <w:vertAlign w:val="superscript"/>
        </w:rPr>
        <w:t>3</w:t>
      </w:r>
      <w:r>
        <w:rPr>
          <w:rFonts w:hint="eastAsia" w:asciiTheme="minorEastAsia" w:hAnsiTheme="minorEastAsia" w:eastAsiaTheme="minorEastAsia"/>
          <w:sz w:val="24"/>
        </w:rPr>
        <w:t>），硐室内设有溢流油箱、防火门和消防站；储油硐室的油类通过输送油管连接至各个无轨维修硐室内的用油点，满足井下车辆加油的需要。</w:t>
      </w:r>
    </w:p>
    <w:p>
      <w:pPr>
        <w:snapToGrid w:val="0"/>
        <w:spacing w:line="360" w:lineRule="auto"/>
        <w:ind w:firstLine="600"/>
        <w:jc w:val="left"/>
        <w:rPr>
          <w:rFonts w:asciiTheme="minorEastAsia" w:hAnsiTheme="minorEastAsia" w:eastAsiaTheme="minorEastAsia"/>
          <w:sz w:val="24"/>
        </w:rPr>
      </w:pPr>
      <w:r>
        <w:rPr>
          <w:rFonts w:hint="eastAsia" w:asciiTheme="minorEastAsia" w:hAnsiTheme="minorEastAsia" w:eastAsiaTheme="minorEastAsia"/>
          <w:sz w:val="24"/>
        </w:rPr>
        <w:t>3）编制进度</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1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①</w:t>
      </w:r>
      <w:r>
        <w:rPr>
          <w:rFonts w:asciiTheme="minorEastAsia" w:hAnsiTheme="minorEastAsia" w:eastAsiaTheme="minorEastAsia"/>
          <w:sz w:val="24"/>
        </w:rPr>
        <w:fldChar w:fldCharType="end"/>
      </w:r>
      <w:r>
        <w:rPr>
          <w:rFonts w:hint="eastAsia" w:asciiTheme="minorEastAsia" w:hAnsiTheme="minorEastAsia" w:eastAsiaTheme="minorEastAsia"/>
          <w:sz w:val="24"/>
        </w:rPr>
        <w:t>2018年6月底，编制组内完成了初稿的编制和汇总工作；</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2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②</w:t>
      </w:r>
      <w:r>
        <w:rPr>
          <w:rFonts w:asciiTheme="minorEastAsia" w:hAnsiTheme="minorEastAsia" w:eastAsiaTheme="minorEastAsia"/>
          <w:sz w:val="24"/>
        </w:rPr>
        <w:fldChar w:fldCharType="end"/>
      </w:r>
      <w:r>
        <w:rPr>
          <w:rFonts w:hint="eastAsia" w:asciiTheme="minorEastAsia" w:hAnsiTheme="minorEastAsia" w:eastAsiaTheme="minorEastAsia"/>
          <w:sz w:val="24"/>
        </w:rPr>
        <w:t>2018年7月中旬，完成了组内初稿互审工作，形成了中间稿件；</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3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③</w:t>
      </w:r>
      <w:r>
        <w:rPr>
          <w:rFonts w:asciiTheme="minorEastAsia" w:hAnsiTheme="minorEastAsia" w:eastAsiaTheme="minorEastAsia"/>
          <w:sz w:val="24"/>
        </w:rPr>
        <w:fldChar w:fldCharType="end"/>
      </w:r>
      <w:r>
        <w:rPr>
          <w:rFonts w:hint="eastAsia" w:asciiTheme="minorEastAsia" w:hAnsiTheme="minorEastAsia" w:eastAsiaTheme="minorEastAsia"/>
          <w:sz w:val="24"/>
        </w:rPr>
        <w:t>2018年8月中旬，初步征求了冬瓜山铜矿、铜绿山铜矿、会泽铅锌矿等3座深井矿山的意见；</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4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④</w:t>
      </w:r>
      <w:r>
        <w:rPr>
          <w:rFonts w:asciiTheme="minorEastAsia" w:hAnsiTheme="minorEastAsia" w:eastAsiaTheme="minorEastAsia"/>
          <w:sz w:val="24"/>
        </w:rPr>
        <w:fldChar w:fldCharType="end"/>
      </w:r>
      <w:r>
        <w:rPr>
          <w:rFonts w:hint="eastAsia" w:asciiTheme="minorEastAsia" w:hAnsiTheme="minorEastAsia" w:eastAsiaTheme="minorEastAsia"/>
          <w:sz w:val="24"/>
        </w:rPr>
        <w:t>2018年8月底，根据初步反馈的意见，编制组内进行了逐条讨论，形成了组内统一意见的稿件；</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5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⑤</w:t>
      </w:r>
      <w:r>
        <w:rPr>
          <w:rFonts w:asciiTheme="minorEastAsia" w:hAnsiTheme="minorEastAsia" w:eastAsiaTheme="minorEastAsia"/>
          <w:sz w:val="24"/>
        </w:rPr>
        <w:fldChar w:fldCharType="end"/>
      </w:r>
      <w:r>
        <w:rPr>
          <w:rFonts w:hint="eastAsia" w:asciiTheme="minorEastAsia" w:hAnsiTheme="minorEastAsia" w:eastAsiaTheme="minorEastAsia"/>
          <w:sz w:val="24"/>
        </w:rPr>
        <w:t>2018年9月-2020年2月，将本规程的部分重要条款纳入了《金属非金属矿山安全规程》GB16423的修改文件，并经过了意见征集、专家评审等环节；</w:t>
      </w:r>
    </w:p>
    <w:p>
      <w:pPr>
        <w:snapToGrid w:val="0"/>
        <w:spacing w:line="360" w:lineRule="auto"/>
        <w:ind w:firstLine="600"/>
        <w:jc w:val="lef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w:instrText>
      </w:r>
      <w:r>
        <w:rPr>
          <w:rFonts w:hint="eastAsia" w:asciiTheme="minorEastAsia" w:hAnsiTheme="minorEastAsia" w:eastAsiaTheme="minorEastAsia"/>
          <w:sz w:val="24"/>
        </w:rPr>
        <w:instrText xml:space="preserve">= 6 \* GB3</w:instrText>
      </w:r>
      <w:r>
        <w:rPr>
          <w:rFonts w:asciiTheme="minorEastAsia" w:hAnsiTheme="minorEastAsia" w:eastAsiaTheme="minorEastAsia"/>
          <w:sz w:val="24"/>
        </w:rPr>
        <w:instrText xml:space="preserve">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⑥</w:t>
      </w:r>
      <w:r>
        <w:rPr>
          <w:rFonts w:asciiTheme="minorEastAsia" w:hAnsiTheme="minorEastAsia" w:eastAsiaTheme="minorEastAsia"/>
          <w:sz w:val="24"/>
        </w:rPr>
        <w:fldChar w:fldCharType="end"/>
      </w:r>
      <w:r>
        <w:rPr>
          <w:rFonts w:hint="eastAsia" w:asciiTheme="minorEastAsia" w:hAnsiTheme="minorEastAsia" w:eastAsiaTheme="minorEastAsia"/>
          <w:sz w:val="24"/>
        </w:rPr>
        <w:t>2020年3月初，根据《金属非金属矿山安全规程》GB16423的最终条文情况，完善了本标准，形成了当前的征求意见稿。</w:t>
      </w:r>
    </w:p>
    <w:p>
      <w:pPr>
        <w:snapToGrid w:val="0"/>
        <w:spacing w:line="360" w:lineRule="auto"/>
        <w:jc w:val="left"/>
        <w:rPr>
          <w:rFonts w:ascii="黑体" w:hAnsi="黑体" w:eastAsia="黑体"/>
          <w:sz w:val="30"/>
          <w:szCs w:val="30"/>
        </w:rPr>
      </w:pPr>
      <w:r>
        <w:rPr>
          <w:rFonts w:hint="eastAsia" w:ascii="黑体" w:hAnsi="黑体" w:eastAsia="黑体"/>
          <w:sz w:val="30"/>
          <w:szCs w:val="30"/>
        </w:rPr>
        <w:t>二、编制原则及主要内容</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（1）编制原则</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1）标准必须贯彻执行国家、行业的有关法律法规，应与国家的方针政策保持一致；</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2）与现行的国家、行业相关标准保持协调一致；</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3）编制标准应满足标准的“四性”要求，技术上的先进性、经济上的合理性、安全上的可靠性、实施上的可操作性；</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3）标准中规定的技术指标、参数、公式以及其他内容都要正确可靠；</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4）文字表达应严谨明确，简练易懂；</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5）充分发扬民主，与有关方面协商一致，共同确认。</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（2）主要内容</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本标准共分为前言、适用范围、规范性引用文件、术语和定义、一般规定、油料运输、井下油料储存、油料使用、消防以及管理制度和应急响应等10个部分。</w:t>
      </w:r>
    </w:p>
    <w:p>
      <w:pPr>
        <w:adjustRightInd w:val="0"/>
        <w:snapToGrid w:val="0"/>
        <w:spacing w:line="360" w:lineRule="auto"/>
        <w:ind w:left="480"/>
        <w:jc w:val="left"/>
        <w:rPr>
          <w:rFonts w:asciiTheme="minorEastAsia" w:hAnsiTheme="minorEastAsia" w:eastAsiaTheme="minorEastAsia"/>
          <w:sz w:val="24"/>
        </w:rPr>
      </w:pPr>
      <w:r>
        <w:rPr>
          <w:rFonts w:hint="eastAsia" w:asciiTheme="minorEastAsia" w:hAnsiTheme="minorEastAsia" w:eastAsiaTheme="minorEastAsia"/>
          <w:sz w:val="24"/>
        </w:rPr>
        <w:t>1）前言</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本标准的编制目的、依据、提出及归口单位、和起草单位及起草人。</w:t>
      </w:r>
    </w:p>
    <w:p>
      <w:pPr>
        <w:adjustRightInd w:val="0"/>
        <w:snapToGrid w:val="0"/>
        <w:spacing w:line="360" w:lineRule="auto"/>
        <w:ind w:left="359" w:leftChars="171"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2）适用范围</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明确了本标准的使用范围。</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3）规范性引用文件</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对本标准编制过程中引用的标准规范进行了罗列。</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4）术语和定义</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对本标准中涉及的金属非金属矿山、油料、油库和加油站进行了相关定义。</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5）一般规定</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对油料储存、运输和使用的通用条款进行了相应规定。</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6）油料运输</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对无轨车辆、管道、竖井斜井、有轨电机车和便携式容器送油等五种运送方式进行了规定。</w:t>
      </w:r>
    </w:p>
    <w:p>
      <w:pPr>
        <w:pStyle w:val="55"/>
        <w:numPr>
          <w:ilvl w:val="0"/>
          <w:numId w:val="1"/>
        </w:numPr>
        <w:snapToGrid w:val="0"/>
        <w:spacing w:line="360" w:lineRule="auto"/>
        <w:ind w:firstLineChars="0"/>
        <w:jc w:val="left"/>
        <w:rPr>
          <w:rFonts w:asciiTheme="minorEastAsia" w:hAnsiTheme="minorEastAsia" w:eastAsiaTheme="minorEastAsia"/>
          <w:sz w:val="24"/>
        </w:rPr>
      </w:pPr>
      <w:r>
        <w:rPr>
          <w:rFonts w:hint="eastAsia" w:asciiTheme="minorEastAsia" w:hAnsiTheme="minorEastAsia" w:eastAsiaTheme="minorEastAsia"/>
          <w:sz w:val="24"/>
        </w:rPr>
        <w:t>井下油料储存</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对矿山井下油料储存的场所布置、相关设施的设置和储存量要求进行了规定。</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8）油料使用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对井下加油的作业方式、车辆要求、加油场所进行了规定</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9）消防</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对井下使用燃油的车辆设备、油库、加油站等需要的消防设施和器材进行了规定。</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10）管理制度和应急响应</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对矿山井下油料的管理和应急响应制度进行了规定。</w:t>
      </w:r>
    </w:p>
    <w:p>
      <w:pPr>
        <w:snapToGrid w:val="0"/>
        <w:spacing w:line="360" w:lineRule="auto"/>
        <w:jc w:val="left"/>
        <w:rPr>
          <w:rFonts w:ascii="黑体" w:hAnsi="黑体" w:eastAsia="黑体"/>
          <w:sz w:val="30"/>
          <w:szCs w:val="30"/>
        </w:rPr>
      </w:pPr>
      <w:r>
        <w:rPr>
          <w:rFonts w:hint="eastAsia" w:ascii="黑体" w:hAnsi="黑体" w:eastAsia="黑体"/>
          <w:sz w:val="30"/>
          <w:szCs w:val="30"/>
        </w:rPr>
        <w:t>三、与国际、国外有关法律法规和标准水平的对比分析</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本标准制定过程中，查阅了国外的相关资料，其中有西澳大利亚的《矿山安全和检查规程1995》、加拿大的《矿山生产规程》和赞比亚的《采矿法规》等，并实地考察了国外的在生产矿山。</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在条文编制时主要立足国内国情，并借鉴了部分国外先进、成熟的技术措施，因此本标准与国外的法律、法规和标准在安全技术措施水平上基本相当，切合国内矿山的实际情况。</w:t>
      </w:r>
    </w:p>
    <w:p>
      <w:pPr>
        <w:snapToGrid w:val="0"/>
        <w:spacing w:line="360" w:lineRule="auto"/>
        <w:jc w:val="left"/>
        <w:rPr>
          <w:rFonts w:ascii="黑体" w:hAnsi="黑体" w:eastAsia="黑体"/>
          <w:sz w:val="30"/>
          <w:szCs w:val="30"/>
        </w:rPr>
      </w:pPr>
      <w:r>
        <w:rPr>
          <w:rFonts w:hint="eastAsia" w:ascii="黑体" w:hAnsi="黑体" w:eastAsia="黑体"/>
          <w:sz w:val="30"/>
          <w:szCs w:val="30"/>
        </w:rPr>
        <w:t>四、与有关现行法律、法规和其他相关标准的关系</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与现行的有关法律、法规和标准内容保持一致，并对部分空白内容进行补充。目前编制《金属非金属地下矿山油料运输、储存、使用指南》计划参考的相关的规范如下：</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（1)《金属非金属矿山安全规程》GB16423-2006；</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（2)《有色金属工程设计防火规范》GB50630-2010；</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（3)《有色金属矿山井巷工程设计规范》GB50915-2013；</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（4)《钢铁冶金企业设计防火规范》GB50414-2007；</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bCs/>
          <w:sz w:val="24"/>
        </w:rPr>
        <w:t>车用柴油</w:t>
      </w:r>
      <w:r>
        <w:rPr>
          <w:rFonts w:hint="eastAsia" w:asciiTheme="minorEastAsia" w:hAnsiTheme="minorEastAsia" w:eastAsiaTheme="minorEastAsia"/>
          <w:sz w:val="24"/>
        </w:rPr>
        <w:t>》</w:t>
      </w:r>
      <w:r>
        <w:rPr>
          <w:rFonts w:hint="eastAsia" w:asciiTheme="minorEastAsia" w:hAnsiTheme="minorEastAsia" w:eastAsiaTheme="minorEastAsia"/>
          <w:bCs/>
          <w:sz w:val="24"/>
        </w:rPr>
        <w:t>GB19147-2016；</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bCs/>
          <w:sz w:val="24"/>
        </w:rPr>
        <w:t>建筑灭火器配置验收及检查规范</w:t>
      </w:r>
      <w:r>
        <w:rPr>
          <w:rFonts w:hint="eastAsia" w:asciiTheme="minorEastAsia" w:hAnsiTheme="minorEastAsia" w:eastAsiaTheme="minorEastAsia"/>
          <w:sz w:val="24"/>
        </w:rPr>
        <w:t>》</w:t>
      </w:r>
      <w:r>
        <w:rPr>
          <w:rFonts w:hint="eastAsia" w:asciiTheme="minorEastAsia" w:hAnsiTheme="minorEastAsia" w:eastAsiaTheme="minorEastAsia"/>
          <w:bCs/>
          <w:sz w:val="24"/>
        </w:rPr>
        <w:t>GB50444-2008；</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（7)《建筑灭火器配置设计规范》GB50140-2005；</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（8)《液体石油产品静电安全规程》GB13348-2009；</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（9)《石油与石油设施雷电安全规范》GB15599-2009；</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（10）《石油化工设备和管道涂料防腐蚀技术规范》SH/T3022-2011。</w:t>
      </w:r>
    </w:p>
    <w:p>
      <w:pPr>
        <w:adjustRightInd w:val="0"/>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其中前4项规范内含有金属非金属地下矿山井下防火方面的相关内容；后6项为柴油品质、建筑物消防、油料输送等相关方面的规定，均可作为本次规程编制的参考规程。</w:t>
      </w:r>
    </w:p>
    <w:p>
      <w:pPr>
        <w:snapToGrid w:val="0"/>
        <w:spacing w:line="360" w:lineRule="auto"/>
        <w:jc w:val="left"/>
        <w:rPr>
          <w:rFonts w:ascii="黑体" w:hAnsi="黑体" w:eastAsia="黑体"/>
          <w:sz w:val="30"/>
          <w:szCs w:val="30"/>
        </w:rPr>
      </w:pPr>
      <w:r>
        <w:rPr>
          <w:rFonts w:hint="eastAsia" w:ascii="黑体" w:hAnsi="黑体" w:eastAsia="黑体"/>
          <w:sz w:val="30"/>
          <w:szCs w:val="30"/>
        </w:rPr>
        <w:t>五、重大分歧意见的处理过程和依据</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    无。</w:t>
      </w:r>
    </w:p>
    <w:p>
      <w:pPr>
        <w:snapToGrid w:val="0"/>
        <w:spacing w:line="360" w:lineRule="auto"/>
        <w:jc w:val="left"/>
        <w:rPr>
          <w:rFonts w:ascii="黑体" w:hAnsi="黑体" w:eastAsia="黑体"/>
          <w:sz w:val="30"/>
          <w:szCs w:val="30"/>
        </w:rPr>
      </w:pPr>
      <w:r>
        <w:rPr>
          <w:rFonts w:hint="eastAsia" w:ascii="黑体" w:hAnsi="黑体" w:eastAsia="黑体"/>
          <w:sz w:val="30"/>
          <w:szCs w:val="30"/>
        </w:rPr>
        <w:t>六、作为强制性标准或推荐性标准的建议及理由</w:t>
      </w:r>
    </w:p>
    <w:p>
      <w:pPr>
        <w:snapToGrid w:val="0"/>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建议本标准为推荐性标准，理由如下：</w:t>
      </w:r>
    </w:p>
    <w:p>
      <w:pPr>
        <w:snapToGrid w:val="0"/>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1）中国恩菲工程技术有限公司作为牵头起草单位，在2019年对《金属非金属矿山安全规程》GB16423修订时，本标准中安全性较为重要的条款在该规程中已经予以采纳，因《金属非金属矿山安全规程》属于全文强制性规范，所以本标准不用再进行强制；</w:t>
      </w:r>
    </w:p>
    <w:p>
      <w:pPr>
        <w:snapToGrid w:val="0"/>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（2）本标准中大部分的条款内容非强制要求，在通常情况下应该优先采用本标准的规定，但并非必须执行本标准，因此可不必作为强制性标准实施；</w:t>
      </w:r>
    </w:p>
    <w:p>
      <w:pPr>
        <w:snapToGrid w:val="0"/>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（3）在当前国家精简强制性标准的背景下，不宜制定太多的强制性标准。</w:t>
      </w:r>
    </w:p>
    <w:p>
      <w:pPr>
        <w:snapToGrid w:val="0"/>
        <w:spacing w:line="360" w:lineRule="auto"/>
        <w:jc w:val="left"/>
        <w:rPr>
          <w:rFonts w:ascii="黑体" w:hAnsi="黑体" w:eastAsia="黑体"/>
          <w:sz w:val="30"/>
          <w:szCs w:val="30"/>
        </w:rPr>
      </w:pPr>
      <w:r>
        <w:rPr>
          <w:rFonts w:hint="eastAsia" w:ascii="黑体" w:hAnsi="黑体" w:eastAsia="黑体"/>
          <w:sz w:val="30"/>
          <w:szCs w:val="30"/>
        </w:rPr>
        <w:t>七、标准实施日期的建议及依据</w:t>
      </w:r>
    </w:p>
    <w:p>
      <w:pPr>
        <w:snapToGrid w:val="0"/>
        <w:spacing w:line="360" w:lineRule="auto"/>
        <w:jc w:val="left"/>
        <w:rPr>
          <w:rFonts w:asciiTheme="minorEastAsia" w:hAnsiTheme="minorEastAsia" w:eastAsiaTheme="minorEastAsia"/>
          <w:sz w:val="24"/>
        </w:rPr>
      </w:pPr>
      <w:r>
        <w:rPr>
          <w:rFonts w:hint="eastAsia" w:ascii="黑体" w:hAnsi="黑体" w:eastAsia="黑体"/>
          <w:sz w:val="30"/>
          <w:szCs w:val="30"/>
        </w:rPr>
        <w:t xml:space="preserve"> </w:t>
      </w:r>
      <w:r>
        <w:rPr>
          <w:rFonts w:hint="eastAsia" w:ascii="黑体" w:hAnsi="黑体" w:eastAsia="黑体"/>
          <w:sz w:val="24"/>
        </w:rPr>
        <w:t xml:space="preserve"> </w:t>
      </w:r>
      <w:r>
        <w:rPr>
          <w:rFonts w:hint="eastAsia" w:asciiTheme="minorEastAsia" w:hAnsiTheme="minorEastAsia" w:eastAsiaTheme="minorEastAsia"/>
          <w:sz w:val="24"/>
        </w:rPr>
        <w:t xml:space="preserve">  本标准制定期间考察了多座矿山的实际应用情况，其中包括国内的草楼铁矿、李楼铁矿、安庆铜矿、金川镍矿以及赞比亚的谦比希铜矿，考察的内容涉及到地下矿山油料的输送方式、储存硐室、储存容器、安全措施、车辆加油使用等。条款制定时充分考虑了矿山现场的可操作性、可实施性，规定的内容目前均可在矿山实现，不存在技术难题需要进一步研究和验证，因此标准制定完毕后即可发布。并建议新建矿山按此标准生效日执行，在建矿山或扩建矿山2年内逐步达到此标准的相关要求。</w:t>
      </w:r>
    </w:p>
    <w:p>
      <w:pPr>
        <w:snapToGrid w:val="0"/>
        <w:spacing w:line="360" w:lineRule="auto"/>
        <w:jc w:val="left"/>
        <w:rPr>
          <w:rFonts w:ascii="黑体" w:hAnsi="黑体" w:eastAsia="黑体"/>
          <w:sz w:val="30"/>
          <w:szCs w:val="30"/>
        </w:rPr>
      </w:pPr>
      <w:r>
        <w:rPr>
          <w:rFonts w:hint="eastAsia" w:ascii="黑体" w:hAnsi="黑体" w:eastAsia="黑体"/>
          <w:sz w:val="30"/>
          <w:szCs w:val="30"/>
        </w:rPr>
        <w:t>八、实施标准的有关政策措施</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    本标准属于推荐性标准，因此实施过程中为保证矿山能够切实在油料运输、储存和使用等方面进行规范操作，减少火灾事故，确保矿山生产安全。建议对于新建、扩建和改建矿山的安全设施设计审查时，对该部分设施予以一定的关注。</w:t>
      </w:r>
    </w:p>
    <w:p>
      <w:pPr>
        <w:snapToGrid w:val="0"/>
        <w:spacing w:line="360" w:lineRule="auto"/>
        <w:jc w:val="left"/>
        <w:rPr>
          <w:rFonts w:ascii="黑体" w:hAnsi="黑体" w:eastAsia="黑体"/>
          <w:sz w:val="30"/>
          <w:szCs w:val="30"/>
        </w:rPr>
      </w:pPr>
      <w:r>
        <w:rPr>
          <w:rFonts w:hint="eastAsia" w:ascii="黑体" w:hAnsi="黑体" w:eastAsia="黑体"/>
          <w:sz w:val="30"/>
          <w:szCs w:val="30"/>
        </w:rPr>
        <w:t>九、废止现行有关标准的建议</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标准属于新制定，不存在需要废止的标准。</w:t>
      </w:r>
    </w:p>
    <w:p>
      <w:pPr>
        <w:snapToGrid w:val="0"/>
        <w:spacing w:line="360" w:lineRule="auto"/>
        <w:jc w:val="left"/>
        <w:rPr>
          <w:rFonts w:ascii="黑体" w:hAnsi="黑体" w:eastAsia="黑体"/>
          <w:sz w:val="30"/>
          <w:szCs w:val="30"/>
        </w:rPr>
      </w:pPr>
      <w:r>
        <w:rPr>
          <w:rFonts w:hint="eastAsia" w:ascii="黑体" w:hAnsi="黑体" w:eastAsia="黑体"/>
          <w:sz w:val="30"/>
          <w:szCs w:val="30"/>
        </w:rPr>
        <w:t>十、设计专利的有关说明</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无。</w:t>
      </w:r>
    </w:p>
    <w:p>
      <w:pPr>
        <w:snapToGrid w:val="0"/>
        <w:spacing w:line="360" w:lineRule="auto"/>
        <w:jc w:val="left"/>
        <w:rPr>
          <w:rFonts w:ascii="黑体" w:hAnsi="黑体" w:eastAsia="黑体"/>
          <w:sz w:val="30"/>
          <w:szCs w:val="30"/>
        </w:rPr>
      </w:pPr>
      <w:r>
        <w:rPr>
          <w:rFonts w:hint="eastAsia" w:ascii="黑体" w:hAnsi="黑体" w:eastAsia="黑体"/>
          <w:sz w:val="30"/>
          <w:szCs w:val="30"/>
        </w:rPr>
        <w:t>十一、标准所涉及的产品、过程和服务目录</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无。</w:t>
      </w:r>
    </w:p>
    <w:p>
      <w:pPr>
        <w:snapToGrid w:val="0"/>
        <w:spacing w:line="360" w:lineRule="auto"/>
        <w:jc w:val="left"/>
        <w:rPr>
          <w:rFonts w:ascii="黑体" w:hAnsi="黑体" w:eastAsia="黑体"/>
          <w:sz w:val="30"/>
          <w:szCs w:val="30"/>
        </w:rPr>
      </w:pPr>
      <w:r>
        <w:rPr>
          <w:rFonts w:hint="eastAsia" w:ascii="黑体" w:hAnsi="黑体" w:eastAsia="黑体"/>
          <w:sz w:val="30"/>
          <w:szCs w:val="30"/>
        </w:rPr>
        <w:t>十二、其他应予说明的事项</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无。</w:t>
      </w:r>
    </w:p>
    <w:p>
      <w:pPr>
        <w:snapToGrid w:val="0"/>
        <w:spacing w:line="360" w:lineRule="auto"/>
        <w:jc w:val="center"/>
        <w:rPr>
          <w:rFonts w:ascii="黑体" w:hAnsi="黑体" w:eastAsia="黑体"/>
          <w:sz w:val="32"/>
          <w:szCs w:val="32"/>
        </w:rPr>
      </w:pPr>
    </w:p>
    <w:p>
      <w:pPr>
        <w:snapToGrid w:val="0"/>
        <w:spacing w:line="360" w:lineRule="auto"/>
        <w:rPr>
          <w:rFonts w:hint="eastAsia" w:asciiTheme="minorEastAsia" w:hAnsiTheme="minorEastAsia" w:eastAsiaTheme="minorEastAsia"/>
          <w:sz w:val="24"/>
        </w:rPr>
      </w:pPr>
    </w:p>
    <w:sectPr>
      <w:footerReference r:id="rId8" w:type="default"/>
      <w:pgSz w:w="11906" w:h="16838"/>
      <w:pgMar w:top="1440" w:right="1644" w:bottom="1440"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rPr>
        <w:rStyle w:val="3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3"/>
      </w:rPr>
    </w:pPr>
    <w:r>
      <w:fldChar w:fldCharType="begin"/>
    </w:r>
    <w:r>
      <w:rPr>
        <w:rStyle w:val="33"/>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rPr>
        <w:rStyle w:val="3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rPr>
        <w:rStyle w:val="33"/>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rPr>
        <w:rStyle w:val="33"/>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60"/>
      <w:rPr>
        <w:rStyle w:val="33"/>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15"/>
                      <w:rPr>
                        <w:rStyle w:val="33"/>
                      </w:rPr>
                    </w:pPr>
                    <w:r>
                      <w:fldChar w:fldCharType="begin"/>
                    </w:r>
                    <w:r>
                      <w:rPr>
                        <w:rStyle w:val="33"/>
                      </w:rPr>
                      <w:instrText xml:space="preserve">PAGE  </w:instrText>
                    </w:r>
                    <w:r>
                      <w:fldChar w:fldCharType="separate"/>
                    </w:r>
                    <w:r>
                      <w:rPr>
                        <w:rStyle w:val="33"/>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63E"/>
    <w:multiLevelType w:val="multilevel"/>
    <w:tmpl w:val="59B1263E"/>
    <w:lvl w:ilvl="0" w:tentative="0">
      <w:start w:val="7"/>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47"/>
    <w:rsid w:val="00015C52"/>
    <w:rsid w:val="00017019"/>
    <w:rsid w:val="00021141"/>
    <w:rsid w:val="0002590A"/>
    <w:rsid w:val="00027DB5"/>
    <w:rsid w:val="00031958"/>
    <w:rsid w:val="00034EA2"/>
    <w:rsid w:val="000407B7"/>
    <w:rsid w:val="00044DB0"/>
    <w:rsid w:val="000528AE"/>
    <w:rsid w:val="00052D9C"/>
    <w:rsid w:val="00061619"/>
    <w:rsid w:val="00066599"/>
    <w:rsid w:val="00066F2E"/>
    <w:rsid w:val="000705E5"/>
    <w:rsid w:val="00071C6F"/>
    <w:rsid w:val="00075D87"/>
    <w:rsid w:val="00076F58"/>
    <w:rsid w:val="000851E3"/>
    <w:rsid w:val="00085CA7"/>
    <w:rsid w:val="00087FA1"/>
    <w:rsid w:val="000B0934"/>
    <w:rsid w:val="000B5BC3"/>
    <w:rsid w:val="000C2887"/>
    <w:rsid w:val="000C5491"/>
    <w:rsid w:val="000C75C3"/>
    <w:rsid w:val="000D1BF6"/>
    <w:rsid w:val="000E7781"/>
    <w:rsid w:val="000F4425"/>
    <w:rsid w:val="00105292"/>
    <w:rsid w:val="00106994"/>
    <w:rsid w:val="00115C26"/>
    <w:rsid w:val="001220D4"/>
    <w:rsid w:val="001317F8"/>
    <w:rsid w:val="001336C2"/>
    <w:rsid w:val="0013522A"/>
    <w:rsid w:val="00136F01"/>
    <w:rsid w:val="001512C6"/>
    <w:rsid w:val="001570B8"/>
    <w:rsid w:val="0016734C"/>
    <w:rsid w:val="00172A27"/>
    <w:rsid w:val="00184739"/>
    <w:rsid w:val="00186C8A"/>
    <w:rsid w:val="0019436E"/>
    <w:rsid w:val="00195E79"/>
    <w:rsid w:val="00197670"/>
    <w:rsid w:val="00197789"/>
    <w:rsid w:val="001A12F4"/>
    <w:rsid w:val="001A772F"/>
    <w:rsid w:val="001B2FD7"/>
    <w:rsid w:val="001C08DA"/>
    <w:rsid w:val="001C4ACD"/>
    <w:rsid w:val="001E2C77"/>
    <w:rsid w:val="001F1CA3"/>
    <w:rsid w:val="001F43A6"/>
    <w:rsid w:val="001F44EE"/>
    <w:rsid w:val="001F46B7"/>
    <w:rsid w:val="00203C67"/>
    <w:rsid w:val="00206D59"/>
    <w:rsid w:val="0020773C"/>
    <w:rsid w:val="002126B6"/>
    <w:rsid w:val="00213AC8"/>
    <w:rsid w:val="00224B35"/>
    <w:rsid w:val="002369EF"/>
    <w:rsid w:val="002373B7"/>
    <w:rsid w:val="00244DB0"/>
    <w:rsid w:val="00247EB0"/>
    <w:rsid w:val="00251465"/>
    <w:rsid w:val="00252FFE"/>
    <w:rsid w:val="00262ED9"/>
    <w:rsid w:val="00266D95"/>
    <w:rsid w:val="00267F5A"/>
    <w:rsid w:val="002833AA"/>
    <w:rsid w:val="00294B33"/>
    <w:rsid w:val="0029505C"/>
    <w:rsid w:val="0029721B"/>
    <w:rsid w:val="002A0F4C"/>
    <w:rsid w:val="002A1948"/>
    <w:rsid w:val="002A5A72"/>
    <w:rsid w:val="002A7298"/>
    <w:rsid w:val="002B0F9A"/>
    <w:rsid w:val="002B5174"/>
    <w:rsid w:val="002B7DE6"/>
    <w:rsid w:val="002C039E"/>
    <w:rsid w:val="002C2A5E"/>
    <w:rsid w:val="002C68B3"/>
    <w:rsid w:val="002C76DE"/>
    <w:rsid w:val="002F4F09"/>
    <w:rsid w:val="002F5A19"/>
    <w:rsid w:val="0030121B"/>
    <w:rsid w:val="00303BFE"/>
    <w:rsid w:val="00315BD3"/>
    <w:rsid w:val="00320C16"/>
    <w:rsid w:val="00322A56"/>
    <w:rsid w:val="0032403A"/>
    <w:rsid w:val="00331DF7"/>
    <w:rsid w:val="00335168"/>
    <w:rsid w:val="00342ACF"/>
    <w:rsid w:val="00342FAB"/>
    <w:rsid w:val="00345215"/>
    <w:rsid w:val="00350580"/>
    <w:rsid w:val="003569CE"/>
    <w:rsid w:val="003652C0"/>
    <w:rsid w:val="00372A1B"/>
    <w:rsid w:val="00373DA2"/>
    <w:rsid w:val="00392D35"/>
    <w:rsid w:val="003975EF"/>
    <w:rsid w:val="003A647F"/>
    <w:rsid w:val="003A6CD7"/>
    <w:rsid w:val="003A7D4B"/>
    <w:rsid w:val="003B2B4A"/>
    <w:rsid w:val="003B2C68"/>
    <w:rsid w:val="003B49DA"/>
    <w:rsid w:val="003C1A99"/>
    <w:rsid w:val="003C1D60"/>
    <w:rsid w:val="003C7D2F"/>
    <w:rsid w:val="003D271B"/>
    <w:rsid w:val="003D56FC"/>
    <w:rsid w:val="003D58D0"/>
    <w:rsid w:val="003E3AB0"/>
    <w:rsid w:val="003E3DDA"/>
    <w:rsid w:val="003E60A1"/>
    <w:rsid w:val="003E6864"/>
    <w:rsid w:val="003F38FB"/>
    <w:rsid w:val="003F45A7"/>
    <w:rsid w:val="0040319B"/>
    <w:rsid w:val="004128D7"/>
    <w:rsid w:val="00414A4C"/>
    <w:rsid w:val="00417168"/>
    <w:rsid w:val="004201E9"/>
    <w:rsid w:val="00420FC9"/>
    <w:rsid w:val="00423078"/>
    <w:rsid w:val="00425BF1"/>
    <w:rsid w:val="004274ED"/>
    <w:rsid w:val="004318B8"/>
    <w:rsid w:val="00433BF2"/>
    <w:rsid w:val="004472C2"/>
    <w:rsid w:val="004529EF"/>
    <w:rsid w:val="004558C2"/>
    <w:rsid w:val="0045592C"/>
    <w:rsid w:val="00456975"/>
    <w:rsid w:val="0046236A"/>
    <w:rsid w:val="0046268B"/>
    <w:rsid w:val="0046379C"/>
    <w:rsid w:val="00467E66"/>
    <w:rsid w:val="0047000B"/>
    <w:rsid w:val="004707FD"/>
    <w:rsid w:val="004715BC"/>
    <w:rsid w:val="0047280E"/>
    <w:rsid w:val="00475E20"/>
    <w:rsid w:val="004763BA"/>
    <w:rsid w:val="00477677"/>
    <w:rsid w:val="00482670"/>
    <w:rsid w:val="00486E76"/>
    <w:rsid w:val="0049510F"/>
    <w:rsid w:val="004966A5"/>
    <w:rsid w:val="004A70DF"/>
    <w:rsid w:val="004A7521"/>
    <w:rsid w:val="004B1CD5"/>
    <w:rsid w:val="004C318B"/>
    <w:rsid w:val="004C3C1A"/>
    <w:rsid w:val="004C4928"/>
    <w:rsid w:val="004C79ED"/>
    <w:rsid w:val="004D3ED1"/>
    <w:rsid w:val="004D697B"/>
    <w:rsid w:val="004D7561"/>
    <w:rsid w:val="004E58EC"/>
    <w:rsid w:val="004F2BDD"/>
    <w:rsid w:val="004F2E1F"/>
    <w:rsid w:val="004F4326"/>
    <w:rsid w:val="004F586D"/>
    <w:rsid w:val="004F68FD"/>
    <w:rsid w:val="004F7996"/>
    <w:rsid w:val="004F7D3B"/>
    <w:rsid w:val="00513B91"/>
    <w:rsid w:val="005215D5"/>
    <w:rsid w:val="0052543B"/>
    <w:rsid w:val="005263EA"/>
    <w:rsid w:val="00527EC4"/>
    <w:rsid w:val="005341AA"/>
    <w:rsid w:val="0053465C"/>
    <w:rsid w:val="00535375"/>
    <w:rsid w:val="00535AF1"/>
    <w:rsid w:val="00540F4F"/>
    <w:rsid w:val="00542D1E"/>
    <w:rsid w:val="0055057A"/>
    <w:rsid w:val="0055259B"/>
    <w:rsid w:val="005567A8"/>
    <w:rsid w:val="00560775"/>
    <w:rsid w:val="00561D5F"/>
    <w:rsid w:val="00561D8F"/>
    <w:rsid w:val="00566500"/>
    <w:rsid w:val="005674B5"/>
    <w:rsid w:val="00570379"/>
    <w:rsid w:val="0057590B"/>
    <w:rsid w:val="00582097"/>
    <w:rsid w:val="0058579F"/>
    <w:rsid w:val="005866BE"/>
    <w:rsid w:val="005931DE"/>
    <w:rsid w:val="00595983"/>
    <w:rsid w:val="005A0AAD"/>
    <w:rsid w:val="005A2D5B"/>
    <w:rsid w:val="005A56AE"/>
    <w:rsid w:val="005A6CFD"/>
    <w:rsid w:val="005D0F29"/>
    <w:rsid w:val="005D3EE0"/>
    <w:rsid w:val="005D43B1"/>
    <w:rsid w:val="005D6D9B"/>
    <w:rsid w:val="005E185E"/>
    <w:rsid w:val="005E4871"/>
    <w:rsid w:val="00610386"/>
    <w:rsid w:val="00612A99"/>
    <w:rsid w:val="006228E1"/>
    <w:rsid w:val="00623B1F"/>
    <w:rsid w:val="0062702F"/>
    <w:rsid w:val="00635057"/>
    <w:rsid w:val="006362A9"/>
    <w:rsid w:val="0064202B"/>
    <w:rsid w:val="00642DB6"/>
    <w:rsid w:val="00647D83"/>
    <w:rsid w:val="00657590"/>
    <w:rsid w:val="006602D4"/>
    <w:rsid w:val="00664758"/>
    <w:rsid w:val="00665F3A"/>
    <w:rsid w:val="00681ADE"/>
    <w:rsid w:val="00683697"/>
    <w:rsid w:val="006A7D1F"/>
    <w:rsid w:val="006C109D"/>
    <w:rsid w:val="006C4E9B"/>
    <w:rsid w:val="006C69BE"/>
    <w:rsid w:val="006D4287"/>
    <w:rsid w:val="006E03B2"/>
    <w:rsid w:val="006E2F94"/>
    <w:rsid w:val="006E44DC"/>
    <w:rsid w:val="006E6105"/>
    <w:rsid w:val="006E6446"/>
    <w:rsid w:val="006E66D4"/>
    <w:rsid w:val="006F0A58"/>
    <w:rsid w:val="006F3E56"/>
    <w:rsid w:val="006F3EBC"/>
    <w:rsid w:val="0070245E"/>
    <w:rsid w:val="00712765"/>
    <w:rsid w:val="00713802"/>
    <w:rsid w:val="00721F67"/>
    <w:rsid w:val="007220B3"/>
    <w:rsid w:val="00725984"/>
    <w:rsid w:val="0073595B"/>
    <w:rsid w:val="007408D2"/>
    <w:rsid w:val="0074601F"/>
    <w:rsid w:val="007465C2"/>
    <w:rsid w:val="00752B91"/>
    <w:rsid w:val="007543E8"/>
    <w:rsid w:val="00757902"/>
    <w:rsid w:val="007618FB"/>
    <w:rsid w:val="00763E05"/>
    <w:rsid w:val="0076464F"/>
    <w:rsid w:val="007647F9"/>
    <w:rsid w:val="00765AA5"/>
    <w:rsid w:val="0076611B"/>
    <w:rsid w:val="00772DCB"/>
    <w:rsid w:val="0077313F"/>
    <w:rsid w:val="00792806"/>
    <w:rsid w:val="007A0CEC"/>
    <w:rsid w:val="007B130A"/>
    <w:rsid w:val="007B6447"/>
    <w:rsid w:val="007C582C"/>
    <w:rsid w:val="007E31EC"/>
    <w:rsid w:val="007F3AF0"/>
    <w:rsid w:val="00801AEC"/>
    <w:rsid w:val="00803E8A"/>
    <w:rsid w:val="00817642"/>
    <w:rsid w:val="0082213C"/>
    <w:rsid w:val="008236F2"/>
    <w:rsid w:val="00826638"/>
    <w:rsid w:val="008312BD"/>
    <w:rsid w:val="008326B9"/>
    <w:rsid w:val="00832A72"/>
    <w:rsid w:val="008340AF"/>
    <w:rsid w:val="00835C5C"/>
    <w:rsid w:val="00846DAD"/>
    <w:rsid w:val="00847B5E"/>
    <w:rsid w:val="00847B64"/>
    <w:rsid w:val="00855A78"/>
    <w:rsid w:val="0086115E"/>
    <w:rsid w:val="00861EFF"/>
    <w:rsid w:val="00864889"/>
    <w:rsid w:val="008671E4"/>
    <w:rsid w:val="00874C27"/>
    <w:rsid w:val="00880218"/>
    <w:rsid w:val="008857F2"/>
    <w:rsid w:val="0089229E"/>
    <w:rsid w:val="00894E36"/>
    <w:rsid w:val="008A0470"/>
    <w:rsid w:val="008A79DF"/>
    <w:rsid w:val="008B7331"/>
    <w:rsid w:val="008C5187"/>
    <w:rsid w:val="008D4F5F"/>
    <w:rsid w:val="008D548E"/>
    <w:rsid w:val="008E5E03"/>
    <w:rsid w:val="008F576B"/>
    <w:rsid w:val="008F794D"/>
    <w:rsid w:val="00906AFD"/>
    <w:rsid w:val="009132B1"/>
    <w:rsid w:val="009257AD"/>
    <w:rsid w:val="00926D1B"/>
    <w:rsid w:val="009444DC"/>
    <w:rsid w:val="009502A3"/>
    <w:rsid w:val="00952242"/>
    <w:rsid w:val="0095361F"/>
    <w:rsid w:val="00954832"/>
    <w:rsid w:val="00962FE1"/>
    <w:rsid w:val="0097030A"/>
    <w:rsid w:val="009762C6"/>
    <w:rsid w:val="00976DB1"/>
    <w:rsid w:val="00982F40"/>
    <w:rsid w:val="00984737"/>
    <w:rsid w:val="0099229B"/>
    <w:rsid w:val="00995F39"/>
    <w:rsid w:val="009974A1"/>
    <w:rsid w:val="009A62C5"/>
    <w:rsid w:val="009A6D4D"/>
    <w:rsid w:val="009B6F8D"/>
    <w:rsid w:val="009C56DD"/>
    <w:rsid w:val="009C7389"/>
    <w:rsid w:val="009D0D62"/>
    <w:rsid w:val="009D3C2A"/>
    <w:rsid w:val="009D6562"/>
    <w:rsid w:val="009E5D15"/>
    <w:rsid w:val="00A02D4F"/>
    <w:rsid w:val="00A03D75"/>
    <w:rsid w:val="00A040CC"/>
    <w:rsid w:val="00A101B3"/>
    <w:rsid w:val="00A11F9E"/>
    <w:rsid w:val="00A12548"/>
    <w:rsid w:val="00A14D22"/>
    <w:rsid w:val="00A2179D"/>
    <w:rsid w:val="00A24DE5"/>
    <w:rsid w:val="00A267CD"/>
    <w:rsid w:val="00A37A30"/>
    <w:rsid w:val="00A41584"/>
    <w:rsid w:val="00A4356B"/>
    <w:rsid w:val="00A50571"/>
    <w:rsid w:val="00A51277"/>
    <w:rsid w:val="00A51A08"/>
    <w:rsid w:val="00A536EA"/>
    <w:rsid w:val="00A572A6"/>
    <w:rsid w:val="00A6432A"/>
    <w:rsid w:val="00A706D6"/>
    <w:rsid w:val="00A73733"/>
    <w:rsid w:val="00A76681"/>
    <w:rsid w:val="00A863E5"/>
    <w:rsid w:val="00A873FB"/>
    <w:rsid w:val="00A9250E"/>
    <w:rsid w:val="00A93FD4"/>
    <w:rsid w:val="00A9560E"/>
    <w:rsid w:val="00A97A72"/>
    <w:rsid w:val="00AB19F3"/>
    <w:rsid w:val="00AB62DD"/>
    <w:rsid w:val="00AC4ED6"/>
    <w:rsid w:val="00AD3F68"/>
    <w:rsid w:val="00AD5F75"/>
    <w:rsid w:val="00AD6B8A"/>
    <w:rsid w:val="00AE74B3"/>
    <w:rsid w:val="00AF06C9"/>
    <w:rsid w:val="00AF13F4"/>
    <w:rsid w:val="00AF2171"/>
    <w:rsid w:val="00AF4BC8"/>
    <w:rsid w:val="00B063D7"/>
    <w:rsid w:val="00B067CD"/>
    <w:rsid w:val="00B112F7"/>
    <w:rsid w:val="00B1184B"/>
    <w:rsid w:val="00B11F8F"/>
    <w:rsid w:val="00B128B4"/>
    <w:rsid w:val="00B16D43"/>
    <w:rsid w:val="00B20267"/>
    <w:rsid w:val="00B216BA"/>
    <w:rsid w:val="00B266C3"/>
    <w:rsid w:val="00B32144"/>
    <w:rsid w:val="00B32617"/>
    <w:rsid w:val="00B342CD"/>
    <w:rsid w:val="00B371A7"/>
    <w:rsid w:val="00B37BDB"/>
    <w:rsid w:val="00B42697"/>
    <w:rsid w:val="00B42F1A"/>
    <w:rsid w:val="00B50834"/>
    <w:rsid w:val="00B560CC"/>
    <w:rsid w:val="00B611DF"/>
    <w:rsid w:val="00B65B3E"/>
    <w:rsid w:val="00B66022"/>
    <w:rsid w:val="00B711D2"/>
    <w:rsid w:val="00B7152A"/>
    <w:rsid w:val="00B7199F"/>
    <w:rsid w:val="00B73A44"/>
    <w:rsid w:val="00B7467A"/>
    <w:rsid w:val="00B74A14"/>
    <w:rsid w:val="00B82248"/>
    <w:rsid w:val="00B83710"/>
    <w:rsid w:val="00B86AE6"/>
    <w:rsid w:val="00B8727E"/>
    <w:rsid w:val="00BA0E05"/>
    <w:rsid w:val="00BA720E"/>
    <w:rsid w:val="00BB609B"/>
    <w:rsid w:val="00BC2BA9"/>
    <w:rsid w:val="00BC4144"/>
    <w:rsid w:val="00BD0752"/>
    <w:rsid w:val="00BD1B60"/>
    <w:rsid w:val="00BD5DAA"/>
    <w:rsid w:val="00BE4638"/>
    <w:rsid w:val="00BE6684"/>
    <w:rsid w:val="00BE7320"/>
    <w:rsid w:val="00BE7685"/>
    <w:rsid w:val="00BF2AD7"/>
    <w:rsid w:val="00BF673A"/>
    <w:rsid w:val="00C046DE"/>
    <w:rsid w:val="00C04F0F"/>
    <w:rsid w:val="00C16F66"/>
    <w:rsid w:val="00C212B1"/>
    <w:rsid w:val="00C24131"/>
    <w:rsid w:val="00C24D85"/>
    <w:rsid w:val="00C25CF2"/>
    <w:rsid w:val="00C26E07"/>
    <w:rsid w:val="00C27A08"/>
    <w:rsid w:val="00C34B18"/>
    <w:rsid w:val="00C412C1"/>
    <w:rsid w:val="00C437CE"/>
    <w:rsid w:val="00C51E4C"/>
    <w:rsid w:val="00C52D03"/>
    <w:rsid w:val="00C7620E"/>
    <w:rsid w:val="00C86100"/>
    <w:rsid w:val="00C907F6"/>
    <w:rsid w:val="00C9472D"/>
    <w:rsid w:val="00C9633E"/>
    <w:rsid w:val="00CA1BAF"/>
    <w:rsid w:val="00CA5322"/>
    <w:rsid w:val="00CA5578"/>
    <w:rsid w:val="00CC187A"/>
    <w:rsid w:val="00CD72A0"/>
    <w:rsid w:val="00CE0B7F"/>
    <w:rsid w:val="00CE25E5"/>
    <w:rsid w:val="00CE2A3C"/>
    <w:rsid w:val="00CE71C0"/>
    <w:rsid w:val="00CF3EF7"/>
    <w:rsid w:val="00CF5C0B"/>
    <w:rsid w:val="00CF7377"/>
    <w:rsid w:val="00D05935"/>
    <w:rsid w:val="00D15BAB"/>
    <w:rsid w:val="00D2471B"/>
    <w:rsid w:val="00D27C3F"/>
    <w:rsid w:val="00D359F2"/>
    <w:rsid w:val="00D36B1A"/>
    <w:rsid w:val="00D52AE5"/>
    <w:rsid w:val="00D5413F"/>
    <w:rsid w:val="00D60F87"/>
    <w:rsid w:val="00D61807"/>
    <w:rsid w:val="00D61997"/>
    <w:rsid w:val="00D62E57"/>
    <w:rsid w:val="00D71B01"/>
    <w:rsid w:val="00D72566"/>
    <w:rsid w:val="00D7714A"/>
    <w:rsid w:val="00DA0F99"/>
    <w:rsid w:val="00DA316A"/>
    <w:rsid w:val="00DA35C7"/>
    <w:rsid w:val="00DA66F0"/>
    <w:rsid w:val="00DA7346"/>
    <w:rsid w:val="00DB1C07"/>
    <w:rsid w:val="00DB5D3D"/>
    <w:rsid w:val="00DD441C"/>
    <w:rsid w:val="00DD56E6"/>
    <w:rsid w:val="00DD5F01"/>
    <w:rsid w:val="00DD6ECA"/>
    <w:rsid w:val="00DE1EAE"/>
    <w:rsid w:val="00DF0109"/>
    <w:rsid w:val="00DF4054"/>
    <w:rsid w:val="00DF56DF"/>
    <w:rsid w:val="00E02743"/>
    <w:rsid w:val="00E10E8D"/>
    <w:rsid w:val="00E141F7"/>
    <w:rsid w:val="00E14DDF"/>
    <w:rsid w:val="00E17A7E"/>
    <w:rsid w:val="00E22BA0"/>
    <w:rsid w:val="00E27DDC"/>
    <w:rsid w:val="00E326F9"/>
    <w:rsid w:val="00E442EB"/>
    <w:rsid w:val="00E45B5F"/>
    <w:rsid w:val="00E47F5F"/>
    <w:rsid w:val="00E56324"/>
    <w:rsid w:val="00E62E73"/>
    <w:rsid w:val="00E672E4"/>
    <w:rsid w:val="00E73271"/>
    <w:rsid w:val="00E74B94"/>
    <w:rsid w:val="00E75752"/>
    <w:rsid w:val="00E90315"/>
    <w:rsid w:val="00EA33DF"/>
    <w:rsid w:val="00EA42F9"/>
    <w:rsid w:val="00EA5DBA"/>
    <w:rsid w:val="00EB28E5"/>
    <w:rsid w:val="00EB2B46"/>
    <w:rsid w:val="00EB58D4"/>
    <w:rsid w:val="00EB5A16"/>
    <w:rsid w:val="00EB71AE"/>
    <w:rsid w:val="00EC1162"/>
    <w:rsid w:val="00EC2599"/>
    <w:rsid w:val="00ED1BC6"/>
    <w:rsid w:val="00ED44C9"/>
    <w:rsid w:val="00EE03E1"/>
    <w:rsid w:val="00EE348D"/>
    <w:rsid w:val="00EE7215"/>
    <w:rsid w:val="00EE78B4"/>
    <w:rsid w:val="00EF0E41"/>
    <w:rsid w:val="00EF3124"/>
    <w:rsid w:val="00EF4E45"/>
    <w:rsid w:val="00F002C2"/>
    <w:rsid w:val="00F05A6D"/>
    <w:rsid w:val="00F145A5"/>
    <w:rsid w:val="00F16B2B"/>
    <w:rsid w:val="00F16C13"/>
    <w:rsid w:val="00F22E40"/>
    <w:rsid w:val="00F2679A"/>
    <w:rsid w:val="00F307AC"/>
    <w:rsid w:val="00F319A7"/>
    <w:rsid w:val="00F418C9"/>
    <w:rsid w:val="00F50614"/>
    <w:rsid w:val="00F52E9D"/>
    <w:rsid w:val="00F56F0C"/>
    <w:rsid w:val="00F6107B"/>
    <w:rsid w:val="00F63C27"/>
    <w:rsid w:val="00F674DD"/>
    <w:rsid w:val="00F7148B"/>
    <w:rsid w:val="00F7375C"/>
    <w:rsid w:val="00F73F8B"/>
    <w:rsid w:val="00F77DAD"/>
    <w:rsid w:val="00F80BE0"/>
    <w:rsid w:val="00F84F1D"/>
    <w:rsid w:val="00FA1365"/>
    <w:rsid w:val="00FA1A98"/>
    <w:rsid w:val="00FA2AB1"/>
    <w:rsid w:val="00FA2E7C"/>
    <w:rsid w:val="00FA42E5"/>
    <w:rsid w:val="00FA7CE3"/>
    <w:rsid w:val="00FB1595"/>
    <w:rsid w:val="00FB34E1"/>
    <w:rsid w:val="00FC0996"/>
    <w:rsid w:val="00FC36E8"/>
    <w:rsid w:val="00FD17F1"/>
    <w:rsid w:val="00FD347F"/>
    <w:rsid w:val="00FE585B"/>
    <w:rsid w:val="00FE7BF3"/>
    <w:rsid w:val="00FF2DCB"/>
    <w:rsid w:val="1AD41A06"/>
    <w:rsid w:val="561F563D"/>
    <w:rsid w:val="722C70D1"/>
    <w:rsid w:val="DEFB7D4F"/>
    <w:rsid w:val="EEDF7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4"/>
    <w:basedOn w:val="1"/>
    <w:next w:val="1"/>
    <w:qFormat/>
    <w:uiPriority w:val="0"/>
    <w:pPr>
      <w:keepNext/>
      <w:tabs>
        <w:tab w:val="left" w:pos="1440"/>
      </w:tabs>
      <w:jc w:val="right"/>
      <w:outlineLvl w:val="3"/>
    </w:pPr>
    <w:rPr>
      <w:rFonts w:ascii="MS UI Gothic" w:hAnsi="MS UI Gothic"/>
      <w:b/>
      <w:bCs/>
      <w:sz w:val="130"/>
    </w:rPr>
  </w:style>
  <w:style w:type="character" w:default="1" w:styleId="23">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qFormat/>
    <w:uiPriority w:val="0"/>
    <w:rPr>
      <w:b/>
      <w:bCs/>
    </w:rPr>
  </w:style>
  <w:style w:type="paragraph" w:styleId="6">
    <w:name w:val="annotation text"/>
    <w:basedOn w:val="1"/>
    <w:link w:val="49"/>
    <w:qFormat/>
    <w:uiPriority w:val="0"/>
    <w:pPr>
      <w:jc w:val="left"/>
    </w:pPr>
  </w:style>
  <w:style w:type="paragraph" w:styleId="7">
    <w:name w:val="toc 7"/>
    <w:basedOn w:val="1"/>
    <w:next w:val="1"/>
    <w:qFormat/>
    <w:uiPriority w:val="0"/>
    <w:pPr>
      <w:ind w:left="1260"/>
      <w:jc w:val="left"/>
    </w:pPr>
    <w:rPr>
      <w:sz w:val="18"/>
      <w:szCs w:val="18"/>
    </w:r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adjustRightInd w:val="0"/>
      <w:snapToGrid w:val="0"/>
      <w:ind w:firstLine="420" w:firstLineChars="200"/>
    </w:pPr>
    <w:rPr>
      <w:color w:val="000000"/>
      <w:szCs w:val="21"/>
    </w:rPr>
  </w:style>
  <w:style w:type="paragraph" w:styleId="10">
    <w:name w:val="toc 5"/>
    <w:basedOn w:val="1"/>
    <w:next w:val="1"/>
    <w:qFormat/>
    <w:uiPriority w:val="0"/>
    <w:pPr>
      <w:ind w:left="840"/>
      <w:jc w:val="left"/>
    </w:pPr>
    <w:rPr>
      <w:sz w:val="18"/>
      <w:szCs w:val="18"/>
    </w:rPr>
  </w:style>
  <w:style w:type="paragraph" w:styleId="11">
    <w:name w:val="toc 3"/>
    <w:basedOn w:val="1"/>
    <w:next w:val="1"/>
    <w:qFormat/>
    <w:uiPriority w:val="0"/>
    <w:pPr>
      <w:ind w:left="420"/>
      <w:jc w:val="left"/>
    </w:pPr>
    <w:rPr>
      <w:i/>
      <w:iCs/>
      <w:sz w:val="20"/>
      <w:szCs w:val="20"/>
    </w:rPr>
  </w:style>
  <w:style w:type="paragraph" w:styleId="12">
    <w:name w:val="toc 8"/>
    <w:basedOn w:val="1"/>
    <w:next w:val="1"/>
    <w:qFormat/>
    <w:uiPriority w:val="0"/>
    <w:pPr>
      <w:ind w:left="1470"/>
      <w:jc w:val="left"/>
    </w:pPr>
    <w:rPr>
      <w:sz w:val="18"/>
      <w:szCs w:val="18"/>
    </w:rPr>
  </w:style>
  <w:style w:type="paragraph" w:styleId="13">
    <w:name w:val="Date"/>
    <w:basedOn w:val="1"/>
    <w:next w:val="1"/>
    <w:qFormat/>
    <w:uiPriority w:val="0"/>
    <w:pPr>
      <w:ind w:left="100" w:leftChars="2500"/>
    </w:p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0"/>
    <w:pPr>
      <w:widowControl w:val="0"/>
      <w:spacing w:before="120" w:after="120"/>
    </w:pPr>
    <w:rPr>
      <w:rFonts w:ascii="Times New Roman" w:hAnsi="Times New Roman" w:eastAsia="宋体" w:cs="Times New Roman"/>
      <w:b/>
      <w:bCs/>
      <w:caps/>
      <w:kern w:val="2"/>
      <w:lang w:val="en-US" w:eastAsia="zh-CN" w:bidi="ar-SA"/>
    </w:rPr>
  </w:style>
  <w:style w:type="paragraph" w:styleId="18">
    <w:name w:val="toc 4"/>
    <w:basedOn w:val="1"/>
    <w:next w:val="1"/>
    <w:qFormat/>
    <w:uiPriority w:val="0"/>
    <w:pPr>
      <w:ind w:left="630"/>
      <w:jc w:val="left"/>
    </w:pPr>
    <w:rPr>
      <w:sz w:val="18"/>
      <w:szCs w:val="18"/>
    </w:rPr>
  </w:style>
  <w:style w:type="paragraph" w:styleId="19">
    <w:name w:val="toc 6"/>
    <w:basedOn w:val="1"/>
    <w:next w:val="1"/>
    <w:qFormat/>
    <w:uiPriority w:val="0"/>
    <w:pPr>
      <w:ind w:left="1050"/>
      <w:jc w:val="left"/>
    </w:pPr>
    <w:rPr>
      <w:sz w:val="18"/>
      <w:szCs w:val="18"/>
    </w:rPr>
  </w:style>
  <w:style w:type="paragraph" w:styleId="20">
    <w:name w:val="Body Text Indent 3"/>
    <w:basedOn w:val="1"/>
    <w:link w:val="51"/>
    <w:qFormat/>
    <w:uiPriority w:val="0"/>
    <w:pPr>
      <w:spacing w:after="120"/>
      <w:ind w:left="420" w:leftChars="200"/>
    </w:pPr>
    <w:rPr>
      <w:sz w:val="16"/>
      <w:szCs w:val="16"/>
    </w:rPr>
  </w:style>
  <w:style w:type="paragraph" w:styleId="21">
    <w:name w:val="toc 2"/>
    <w:basedOn w:val="17"/>
    <w:next w:val="1"/>
    <w:qFormat/>
    <w:uiPriority w:val="39"/>
    <w:pPr>
      <w:spacing w:before="0" w:after="0"/>
      <w:ind w:left="210"/>
    </w:pPr>
    <w:rPr>
      <w:b w:val="0"/>
      <w:bCs w:val="0"/>
      <w:caps w:val="0"/>
      <w:smallCaps/>
    </w:rPr>
  </w:style>
  <w:style w:type="paragraph" w:styleId="22">
    <w:name w:val="toc 9"/>
    <w:basedOn w:val="1"/>
    <w:next w:val="1"/>
    <w:qFormat/>
    <w:uiPriority w:val="0"/>
    <w:pPr>
      <w:ind w:left="1680"/>
      <w:jc w:val="left"/>
    </w:pPr>
    <w:rPr>
      <w:sz w:val="18"/>
      <w:szCs w:val="18"/>
    </w:rPr>
  </w:style>
  <w:style w:type="character" w:styleId="24">
    <w:name w:val="Strong"/>
    <w:qFormat/>
    <w:uiPriority w:val="0"/>
    <w:rPr>
      <w:b/>
      <w:bCs/>
    </w:rPr>
  </w:style>
  <w:style w:type="character" w:styleId="25">
    <w:name w:val="Hyperlink"/>
    <w:qFormat/>
    <w:uiPriority w:val="99"/>
    <w:rPr>
      <w:rFonts w:ascii="Times New Roman" w:hAnsi="Times New Roman" w:eastAsia="宋体"/>
      <w:color w:val="auto"/>
      <w:spacing w:val="0"/>
      <w:w w:val="100"/>
      <w:position w:val="0"/>
      <w:sz w:val="21"/>
      <w:u w:val="none"/>
      <w:vertAlign w:val="baseline"/>
    </w:rPr>
  </w:style>
  <w:style w:type="character" w:styleId="26">
    <w:name w:val="annotation reference"/>
    <w:qFormat/>
    <w:uiPriority w:val="0"/>
    <w:rPr>
      <w:sz w:val="21"/>
      <w:szCs w:val="21"/>
    </w:rPr>
  </w:style>
  <w:style w:type="character" w:customStyle="1" w:styleId="28">
    <w:name w:val="标题 1 字符"/>
    <w:link w:val="2"/>
    <w:qFormat/>
    <w:uiPriority w:val="0"/>
    <w:rPr>
      <w:b/>
      <w:bCs/>
      <w:kern w:val="44"/>
      <w:sz w:val="44"/>
      <w:szCs w:val="44"/>
    </w:rPr>
  </w:style>
  <w:style w:type="character" w:customStyle="1" w:styleId="29">
    <w:name w:val="页眉 字符"/>
    <w:link w:val="16"/>
    <w:qFormat/>
    <w:uiPriority w:val="0"/>
    <w:rPr>
      <w:kern w:val="2"/>
      <w:sz w:val="18"/>
      <w:szCs w:val="18"/>
    </w:rPr>
  </w:style>
  <w:style w:type="character" w:customStyle="1" w:styleId="30">
    <w:name w:val="二级条标题 Char"/>
    <w:link w:val="31"/>
    <w:qFormat/>
    <w:uiPriority w:val="0"/>
    <w:rPr>
      <w:rFonts w:ascii="黑体" w:eastAsia="黑体"/>
      <w:sz w:val="21"/>
      <w:szCs w:val="21"/>
      <w:lang w:val="en-US" w:eastAsia="zh-CN"/>
    </w:rPr>
  </w:style>
  <w:style w:type="paragraph" w:customStyle="1" w:styleId="31">
    <w:name w:val="二级条标题"/>
    <w:basedOn w:val="32"/>
    <w:next w:val="1"/>
    <w:link w:val="30"/>
    <w:qFormat/>
    <w:uiPriority w:val="0"/>
    <w:pPr>
      <w:tabs>
        <w:tab w:val="left" w:pos="360"/>
      </w:tabs>
      <w:spacing w:before="50" w:beforeLines="0" w:after="50" w:afterLines="0"/>
      <w:outlineLvl w:val="3"/>
    </w:pPr>
  </w:style>
  <w:style w:type="paragraph" w:customStyle="1" w:styleId="32">
    <w:name w:val="一级条标题"/>
    <w:next w:val="1"/>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33">
    <w:name w:val="页码1"/>
    <w:qFormat/>
    <w:uiPriority w:val="0"/>
    <w:rPr>
      <w:rFonts w:ascii="Times New Roman" w:hAnsi="Times New Roman" w:eastAsia="宋体"/>
      <w:sz w:val="18"/>
    </w:rPr>
  </w:style>
  <w:style w:type="character" w:customStyle="1" w:styleId="34">
    <w:name w:val="short_text"/>
    <w:basedOn w:val="23"/>
    <w:qFormat/>
    <w:uiPriority w:val="0"/>
  </w:style>
  <w:style w:type="character" w:customStyle="1" w:styleId="35">
    <w:name w:val="三级条标题 Char"/>
    <w:basedOn w:val="30"/>
    <w:link w:val="36"/>
    <w:qFormat/>
    <w:uiPriority w:val="0"/>
    <w:rPr>
      <w:rFonts w:ascii="黑体" w:eastAsia="黑体"/>
      <w:sz w:val="21"/>
      <w:szCs w:val="21"/>
      <w:lang w:val="en-US" w:eastAsia="zh-CN"/>
    </w:rPr>
  </w:style>
  <w:style w:type="paragraph" w:customStyle="1" w:styleId="36">
    <w:name w:val="三级条标题"/>
    <w:basedOn w:val="31"/>
    <w:next w:val="1"/>
    <w:link w:val="35"/>
    <w:qFormat/>
    <w:uiPriority w:val="0"/>
    <w:pPr>
      <w:ind w:left="315"/>
      <w:outlineLvl w:val="4"/>
    </w:pPr>
  </w:style>
  <w:style w:type="character" w:customStyle="1" w:styleId="37">
    <w:name w:val="hps"/>
    <w:basedOn w:val="23"/>
    <w:qFormat/>
    <w:uiPriority w:val="0"/>
  </w:style>
  <w:style w:type="paragraph" w:customStyle="1" w:styleId="38">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9">
    <w:name w:val="日期1"/>
    <w:basedOn w:val="1"/>
    <w:next w:val="1"/>
    <w:qFormat/>
    <w:uiPriority w:val="0"/>
    <w:pPr>
      <w:ind w:left="100" w:leftChars="2500"/>
    </w:pPr>
    <w:rPr>
      <w:szCs w:val="21"/>
    </w:rPr>
  </w:style>
  <w:style w:type="paragraph" w:customStyle="1" w:styleId="4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1">
    <w:name w:val="tgt1"/>
    <w:basedOn w:val="1"/>
    <w:qFormat/>
    <w:uiPriority w:val="0"/>
    <w:pPr>
      <w:widowControl/>
      <w:spacing w:after="150"/>
      <w:jc w:val="left"/>
    </w:pPr>
    <w:rPr>
      <w:rFonts w:ascii="宋体" w:hAnsi="宋体" w:cs="宋体"/>
      <w:kern w:val="0"/>
      <w:sz w:val="24"/>
    </w:rPr>
  </w:style>
  <w:style w:type="paragraph" w:customStyle="1" w:styleId="42">
    <w:name w:val="正文文本缩进1"/>
    <w:basedOn w:val="1"/>
    <w:qFormat/>
    <w:uiPriority w:val="0"/>
    <w:pPr>
      <w:adjustRightInd w:val="0"/>
      <w:snapToGrid w:val="0"/>
      <w:ind w:firstLine="420" w:firstLineChars="200"/>
    </w:pPr>
    <w:rPr>
      <w:color w:val="000000"/>
      <w:szCs w:val="21"/>
    </w:rPr>
  </w:style>
  <w:style w:type="paragraph" w:customStyle="1" w:styleId="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44">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5">
    <w:name w:val="五级条标题"/>
    <w:basedOn w:val="46"/>
    <w:next w:val="1"/>
    <w:qFormat/>
    <w:uiPriority w:val="0"/>
    <w:pPr>
      <w:tabs>
        <w:tab w:val="left" w:pos="360"/>
      </w:tabs>
      <w:outlineLvl w:val="6"/>
    </w:pPr>
  </w:style>
  <w:style w:type="paragraph" w:customStyle="1" w:styleId="46">
    <w:name w:val="四级条标题"/>
    <w:basedOn w:val="36"/>
    <w:next w:val="1"/>
    <w:qFormat/>
    <w:uiPriority w:val="0"/>
    <w:pPr>
      <w:ind w:left="0"/>
      <w:outlineLvl w:val="5"/>
    </w:pPr>
  </w:style>
  <w:style w:type="paragraph" w:customStyle="1" w:styleId="47">
    <w:name w:val="纯文本1"/>
    <w:basedOn w:val="1"/>
    <w:qFormat/>
    <w:uiPriority w:val="0"/>
    <w:rPr>
      <w:rFonts w:ascii="宋体" w:hAnsi="Courier New" w:cs="Courier New"/>
      <w:szCs w:val="21"/>
    </w:rPr>
  </w:style>
  <w:style w:type="paragraph" w:customStyle="1" w:styleId="48">
    <w:name w:val="文档结构图1"/>
    <w:basedOn w:val="1"/>
    <w:qFormat/>
    <w:uiPriority w:val="0"/>
    <w:pPr>
      <w:shd w:val="clear" w:color="auto" w:fill="000080"/>
    </w:pPr>
  </w:style>
  <w:style w:type="character" w:customStyle="1" w:styleId="49">
    <w:name w:val="批注文字 字符"/>
    <w:link w:val="6"/>
    <w:qFormat/>
    <w:uiPriority w:val="0"/>
    <w:rPr>
      <w:kern w:val="2"/>
      <w:sz w:val="21"/>
      <w:szCs w:val="24"/>
    </w:rPr>
  </w:style>
  <w:style w:type="character" w:customStyle="1" w:styleId="50">
    <w:name w:val="批注主题 字符"/>
    <w:link w:val="5"/>
    <w:qFormat/>
    <w:uiPriority w:val="0"/>
    <w:rPr>
      <w:b/>
      <w:bCs/>
      <w:kern w:val="2"/>
      <w:sz w:val="21"/>
      <w:szCs w:val="24"/>
    </w:rPr>
  </w:style>
  <w:style w:type="character" w:customStyle="1" w:styleId="51">
    <w:name w:val="正文文本缩进 3 字符"/>
    <w:link w:val="20"/>
    <w:qFormat/>
    <w:uiPriority w:val="0"/>
    <w:rPr>
      <w:kern w:val="2"/>
      <w:sz w:val="16"/>
      <w:szCs w:val="16"/>
    </w:rPr>
  </w:style>
  <w:style w:type="paragraph" w:customStyle="1" w:styleId="52">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53">
    <w:name w:val="0609 条款首行(带编号)"/>
    <w:basedOn w:val="1"/>
    <w:qFormat/>
    <w:uiPriority w:val="0"/>
    <w:rPr>
      <w:szCs w:val="22"/>
    </w:rPr>
  </w:style>
  <w:style w:type="paragraph" w:customStyle="1" w:styleId="54">
    <w:name w:val="0609 正文-0"/>
    <w:basedOn w:val="1"/>
    <w:qFormat/>
    <w:uiPriority w:val="0"/>
    <w:pPr>
      <w:ind w:firstLine="420" w:firstLineChars="200"/>
    </w:pPr>
    <w:rPr>
      <w:szCs w:val="22"/>
    </w:rPr>
  </w:style>
  <w:style w:type="paragraph" w:styleId="5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1096</Words>
  <Characters>6252</Characters>
  <Lines>52</Lines>
  <Paragraphs>14</Paragraphs>
  <TotalTime>0</TotalTime>
  <ScaleCrop>false</ScaleCrop>
  <LinksUpToDate>false</LinksUpToDate>
  <CharactersWithSpaces>7334</CharactersWithSpaces>
  <Application>WPS Office_10.1.0.7589_F1E327BC-269C-435d-A152-05C5408002CA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2020-03-06T17:57:00Z</dcterms:created>
  <dc:creator>牟声远</dc:creator>
  <cp:lastModifiedBy>王琦(拟稿)</cp:lastModifiedBy>
  <cp:lastPrinted>2020-02-20T23:16:00Z</cp:lastPrinted>
  <dcterms:modified xsi:type="dcterms:W3CDTF">2020-06-10T12:16:47Z</dcterms:modified>
  <dc:title>紧急避险系统安装设计规范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