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eastAsia="黑体"/>
        </w:rPr>
      </w:pPr>
      <w:bookmarkStart w:id="0" w:name="RANGE!A1:F14"/>
    </w:p>
    <w:p>
      <w:pPr>
        <w:rPr>
          <w:rFonts w:ascii="黑体" w:eastAsia="黑体"/>
        </w:rPr>
      </w:pPr>
    </w:p>
    <w:p>
      <w:pPr>
        <w:rPr>
          <w:rFonts w:ascii="黑体" w:eastAsia="黑体"/>
        </w:rPr>
      </w:pPr>
    </w:p>
    <w:p>
      <w:pPr>
        <w:rPr>
          <w:rFonts w:ascii="黑体" w:eastAsia="黑体"/>
        </w:rPr>
      </w:pPr>
    </w:p>
    <w:p>
      <w:pPr>
        <w:jc w:val="center"/>
        <w:rPr>
          <w:rFonts w:eastAsia="方正小标宋简体"/>
          <w:sz w:val="52"/>
        </w:rPr>
      </w:pPr>
      <w:r>
        <w:rPr>
          <w:rFonts w:hint="eastAsia" w:eastAsia="方正小标宋简体"/>
          <w:sz w:val="52"/>
        </w:rPr>
        <w:t>中国专利奖申报书</w:t>
      </w:r>
    </w:p>
    <w:p>
      <w:pPr>
        <w:jc w:val="center"/>
        <w:rPr>
          <w:rFonts w:eastAsia="楷体_GB2312"/>
          <w:sz w:val="36"/>
        </w:rPr>
      </w:pPr>
      <w:r>
        <w:rPr>
          <w:rFonts w:hint="eastAsia" w:eastAsia="楷体_GB2312"/>
          <w:sz w:val="36"/>
        </w:rPr>
        <w:t>（发明/实用新型）</w:t>
      </w:r>
    </w:p>
    <w:p>
      <w:pPr>
        <w:jc w:val="center"/>
        <w:rPr>
          <w:sz w:val="48"/>
        </w:rPr>
      </w:pPr>
    </w:p>
    <w:p>
      <w:pPr>
        <w:jc w:val="center"/>
        <w:rPr>
          <w:sz w:val="48"/>
        </w:rPr>
      </w:pPr>
    </w:p>
    <w:p>
      <w:pPr>
        <w:spacing w:line="360" w:lineRule="auto"/>
        <w:ind w:firstLine="540" w:firstLineChars="150"/>
        <w:rPr>
          <w:rFonts w:eastAsia="楷体_GB2312"/>
          <w:sz w:val="36"/>
          <w:u w:val="single"/>
        </w:rPr>
      </w:pPr>
      <w:r>
        <w:rPr>
          <w:rFonts w:hint="eastAsia" w:eastAsia="楷体_GB2312"/>
          <w:sz w:val="36"/>
        </w:rPr>
        <w:t>专 利 号：</w:t>
      </w:r>
      <w:r>
        <w:rPr>
          <w:rFonts w:hint="eastAsia" w:eastAsia="楷体_GB2312"/>
          <w:sz w:val="36"/>
          <w:u w:val="single"/>
        </w:rPr>
        <w:t xml:space="preserve"> </w:t>
      </w:r>
      <w:r>
        <w:rPr>
          <w:rFonts w:hint="eastAsia" w:eastAsia="楷体_GB2312"/>
          <w:sz w:val="28"/>
          <w:szCs w:val="28"/>
          <w:u w:val="single"/>
        </w:rPr>
        <w:t xml:space="preserve">    </w:t>
      </w:r>
      <w:r>
        <w:rPr>
          <w:rFonts w:eastAsia="楷体_GB2312"/>
          <w:sz w:val="28"/>
          <w:szCs w:val="28"/>
          <w:u w:val="single"/>
        </w:rPr>
        <w:t xml:space="preserve">      ZL201310360611.2</w:t>
      </w:r>
      <w:r>
        <w:rPr>
          <w:rFonts w:hint="eastAsia" w:eastAsia="楷体_GB2312"/>
          <w:sz w:val="28"/>
          <w:szCs w:val="28"/>
          <w:u w:val="single"/>
        </w:rPr>
        <w:t xml:space="preserve">            </w:t>
      </w:r>
    </w:p>
    <w:p>
      <w:pPr>
        <w:spacing w:line="360" w:lineRule="auto"/>
        <w:ind w:firstLine="540" w:firstLineChars="150"/>
        <w:rPr>
          <w:rFonts w:eastAsia="楷体_GB2312"/>
          <w:sz w:val="28"/>
          <w:szCs w:val="28"/>
          <w:u w:val="single"/>
        </w:rPr>
      </w:pPr>
      <w:r>
        <w:rPr>
          <w:rFonts w:hint="eastAsia" w:eastAsia="楷体_GB2312"/>
          <w:sz w:val="36"/>
        </w:rPr>
        <w:t>专利名称：</w:t>
      </w:r>
      <w:r>
        <w:rPr>
          <w:rFonts w:hint="eastAsia" w:eastAsia="楷体_GB2312"/>
          <w:sz w:val="36"/>
          <w:u w:val="single"/>
        </w:rPr>
        <w:t xml:space="preserve"> </w:t>
      </w:r>
      <w:r>
        <w:rPr>
          <w:rFonts w:hint="eastAsia" w:eastAsia="楷体_GB2312"/>
          <w:sz w:val="28"/>
          <w:szCs w:val="28"/>
          <w:u w:val="single"/>
        </w:rPr>
        <w:t>双向风速、风向测量的检测装置及检测方法</w:t>
      </w:r>
    </w:p>
    <w:p>
      <w:pPr>
        <w:spacing w:line="360" w:lineRule="auto"/>
        <w:ind w:firstLine="540" w:firstLineChars="150"/>
        <w:rPr>
          <w:rFonts w:eastAsia="楷体_GB2312"/>
          <w:sz w:val="36"/>
          <w:u w:val="single"/>
        </w:rPr>
      </w:pPr>
      <w:r>
        <w:rPr>
          <w:rFonts w:hint="eastAsia" w:eastAsia="楷体_GB2312"/>
          <w:sz w:val="36"/>
        </w:rPr>
        <w:t>申报单位：</w:t>
      </w:r>
      <w:r>
        <w:rPr>
          <w:rFonts w:hint="eastAsia" w:eastAsia="楷体_GB2312"/>
          <w:szCs w:val="21"/>
          <w:u w:val="single"/>
        </w:rPr>
        <w:t xml:space="preserve"> </w:t>
      </w:r>
      <w:r>
        <w:rPr>
          <w:rFonts w:eastAsia="楷体_GB2312"/>
          <w:szCs w:val="21"/>
          <w:u w:val="single"/>
        </w:rPr>
        <w:t xml:space="preserve">      </w:t>
      </w:r>
      <w:r>
        <w:rPr>
          <w:rFonts w:hint="eastAsia" w:eastAsia="楷体_GB2312"/>
          <w:sz w:val="28"/>
          <w:szCs w:val="28"/>
          <w:u w:val="single"/>
        </w:rPr>
        <w:t xml:space="preserve">中煤科工集团重庆研究院有限公司 </w:t>
      </w:r>
      <w:r>
        <w:rPr>
          <w:rFonts w:eastAsia="楷体_GB2312"/>
          <w:sz w:val="28"/>
          <w:szCs w:val="28"/>
          <w:u w:val="single"/>
        </w:rPr>
        <w:t xml:space="preserve"> </w:t>
      </w:r>
      <w:r>
        <w:rPr>
          <w:rFonts w:eastAsia="楷体_GB2312"/>
          <w:szCs w:val="21"/>
          <w:u w:val="single"/>
        </w:rPr>
        <w:t xml:space="preserve">  </w:t>
      </w:r>
    </w:p>
    <w:p>
      <w:pPr>
        <w:spacing w:line="360" w:lineRule="auto"/>
        <w:ind w:firstLine="540" w:firstLineChars="150"/>
        <w:rPr>
          <w:rFonts w:eastAsia="楷体_GB2312"/>
          <w:sz w:val="28"/>
          <w:szCs w:val="28"/>
          <w:u w:val="single"/>
        </w:rPr>
      </w:pPr>
      <w:r>
        <w:rPr>
          <w:rFonts w:hint="eastAsia" w:eastAsia="楷体_GB2312"/>
          <w:sz w:val="36"/>
        </w:rPr>
        <w:t>推荐单位：</w:t>
      </w:r>
      <w:r>
        <w:rPr>
          <w:rFonts w:hint="eastAsia" w:eastAsia="楷体_GB2312"/>
          <w:sz w:val="28"/>
          <w:szCs w:val="28"/>
          <w:u w:val="single"/>
        </w:rPr>
        <w:t xml:space="preserve">      </w:t>
      </w:r>
      <w:r>
        <w:rPr>
          <w:rFonts w:hint="eastAsia" w:eastAsia="楷体_GB2312"/>
          <w:sz w:val="28"/>
          <w:szCs w:val="28"/>
          <w:u w:val="single"/>
          <w:lang w:val="en-US" w:eastAsia="zh-CN"/>
        </w:rPr>
        <w:t>中华人民共和国应急管理部</w:t>
      </w:r>
      <w:r>
        <w:rPr>
          <w:rFonts w:hint="eastAsia" w:eastAsia="楷体_GB2312"/>
          <w:sz w:val="28"/>
          <w:szCs w:val="28"/>
          <w:u w:val="single"/>
        </w:rPr>
        <w:t xml:space="preserve">                                 </w:t>
      </w:r>
    </w:p>
    <w:p>
      <w:pPr>
        <w:spacing w:line="360" w:lineRule="auto"/>
        <w:jc w:val="center"/>
        <w:rPr>
          <w:rFonts w:eastAsia="楷体_GB2312"/>
          <w:sz w:val="36"/>
        </w:rPr>
      </w:pPr>
    </w:p>
    <w:p>
      <w:pPr>
        <w:spacing w:line="360" w:lineRule="auto"/>
        <w:jc w:val="center"/>
        <w:rPr>
          <w:rFonts w:eastAsia="楷体_GB2312"/>
          <w:sz w:val="36"/>
        </w:rPr>
      </w:pPr>
    </w:p>
    <w:p>
      <w:pPr>
        <w:spacing w:line="360" w:lineRule="auto"/>
        <w:jc w:val="center"/>
        <w:rPr>
          <w:rFonts w:eastAsia="楷体_GB2312"/>
          <w:sz w:val="36"/>
        </w:rPr>
      </w:pPr>
    </w:p>
    <w:p>
      <w:pPr>
        <w:spacing w:line="360" w:lineRule="auto"/>
        <w:jc w:val="center"/>
        <w:rPr>
          <w:rFonts w:eastAsia="楷体_GB2312"/>
          <w:sz w:val="36"/>
        </w:rPr>
      </w:pPr>
    </w:p>
    <w:p>
      <w:pPr>
        <w:spacing w:line="360" w:lineRule="auto"/>
        <w:jc w:val="center"/>
        <w:rPr>
          <w:rFonts w:eastAsia="楷体_GB2312"/>
          <w:sz w:val="36"/>
        </w:rPr>
      </w:pPr>
    </w:p>
    <w:p>
      <w:pPr>
        <w:spacing w:line="360" w:lineRule="auto"/>
        <w:jc w:val="center"/>
        <w:rPr>
          <w:rFonts w:eastAsia="楷体_GB2312"/>
          <w:sz w:val="36"/>
        </w:rPr>
      </w:pPr>
    </w:p>
    <w:p>
      <w:pPr>
        <w:jc w:val="center"/>
        <w:rPr>
          <w:rFonts w:eastAsia="楷体_GB2312"/>
          <w:sz w:val="36"/>
        </w:rPr>
      </w:pPr>
      <w:r>
        <w:rPr>
          <w:rFonts w:hint="eastAsia" w:eastAsia="楷体_GB2312"/>
          <w:sz w:val="36"/>
        </w:rPr>
        <w:t>二〇二一年</w:t>
      </w:r>
      <w:r>
        <w:rPr>
          <w:rFonts w:hint="eastAsia" w:eastAsia="楷体_GB2312"/>
          <w:sz w:val="36"/>
          <w:u w:val="single"/>
        </w:rPr>
        <w:t xml:space="preserve"> 九 </w:t>
      </w:r>
      <w:r>
        <w:rPr>
          <w:rFonts w:hint="eastAsia" w:eastAsia="楷体_GB2312"/>
          <w:sz w:val="36"/>
        </w:rPr>
        <w:t>月</w:t>
      </w:r>
      <w:r>
        <w:rPr>
          <w:rFonts w:hint="eastAsia" w:eastAsia="楷体_GB2312"/>
          <w:sz w:val="36"/>
          <w:u w:val="single"/>
        </w:rPr>
        <w:t xml:space="preserve"> 三十 </w:t>
      </w:r>
      <w:r>
        <w:rPr>
          <w:rFonts w:hint="eastAsia" w:eastAsia="楷体_GB2312"/>
          <w:sz w:val="36"/>
        </w:rPr>
        <w:t>日</w:t>
      </w:r>
    </w:p>
    <w:p>
      <w:pPr>
        <w:spacing w:before="240"/>
        <w:jc w:val="center"/>
        <w:rPr>
          <w:rFonts w:eastAsia="楷体_GB2312"/>
          <w:sz w:val="36"/>
        </w:rPr>
      </w:pPr>
      <w:r>
        <w:rPr>
          <w:rFonts w:hint="eastAsia" w:eastAsia="楷体_GB2312"/>
          <w:sz w:val="36"/>
        </w:rPr>
        <w:t>国家知识产权局制</w:t>
      </w:r>
    </w:p>
    <w:p>
      <w:pPr>
        <w:spacing w:line="560" w:lineRule="exact"/>
        <w:rPr>
          <w:rFonts w:eastAsia="黑体"/>
        </w:rPr>
      </w:pPr>
      <w:r>
        <w:rPr>
          <w:rFonts w:eastAsia="黑体"/>
        </w:rPr>
        <w:br w:type="page"/>
      </w:r>
    </w:p>
    <w:p>
      <w:pPr>
        <w:jc w:val="center"/>
        <w:rPr>
          <w:rFonts w:ascii="方正小标宋简体" w:hAnsi="宋体" w:eastAsia="方正小标宋简体" w:cs="宋体"/>
          <w:b/>
          <w:kern w:val="0"/>
          <w:sz w:val="44"/>
          <w:szCs w:val="44"/>
        </w:rPr>
      </w:pPr>
      <w:r>
        <w:rPr>
          <w:rFonts w:hint="eastAsia" w:ascii="方正小标宋简体" w:hAnsi="宋体" w:eastAsia="方正小标宋简体" w:cs="宋体"/>
          <w:b/>
          <w:kern w:val="0"/>
          <w:sz w:val="44"/>
          <w:szCs w:val="44"/>
        </w:rPr>
        <w:t>一、申报项目基本信息</w:t>
      </w:r>
      <w:bookmarkEnd w:id="0"/>
    </w:p>
    <w:p>
      <w:pPr>
        <w:jc w:val="center"/>
        <w:rPr>
          <w:rFonts w:ascii="方正小标宋简体" w:hAnsi="宋体" w:eastAsia="方正小标宋简体" w:cs="宋体"/>
          <w:b/>
          <w:kern w:val="0"/>
          <w:sz w:val="44"/>
          <w:szCs w:val="44"/>
        </w:rPr>
      </w:pPr>
    </w:p>
    <w:tbl>
      <w:tblPr>
        <w:tblStyle w:val="8"/>
        <w:tblW w:w="8522" w:type="dxa"/>
        <w:jc w:val="center"/>
        <w:tblLayout w:type="fixed"/>
        <w:tblCellMar>
          <w:top w:w="0" w:type="dxa"/>
          <w:left w:w="108" w:type="dxa"/>
          <w:bottom w:w="0" w:type="dxa"/>
          <w:right w:w="108" w:type="dxa"/>
        </w:tblCellMar>
      </w:tblPr>
      <w:tblGrid>
        <w:gridCol w:w="1927"/>
        <w:gridCol w:w="2199"/>
        <w:gridCol w:w="2199"/>
        <w:gridCol w:w="2197"/>
      </w:tblGrid>
      <w:tr>
        <w:tblPrEx>
          <w:tblCellMar>
            <w:top w:w="0" w:type="dxa"/>
            <w:left w:w="108" w:type="dxa"/>
            <w:bottom w:w="0" w:type="dxa"/>
            <w:right w:w="108" w:type="dxa"/>
          </w:tblCellMar>
        </w:tblPrEx>
        <w:trPr>
          <w:trHeight w:val="375" w:hRule="atLeast"/>
          <w:jc w:val="center"/>
        </w:trPr>
        <w:tc>
          <w:tcPr>
            <w:tcW w:w="1927" w:type="dxa"/>
            <w:tcBorders>
              <w:top w:val="single" w:color="auto" w:sz="8" w:space="0"/>
              <w:left w:val="single" w:color="auto" w:sz="8" w:space="0"/>
              <w:bottom w:val="single" w:color="auto" w:sz="4" w:space="0"/>
              <w:right w:val="single" w:color="auto" w:sz="4"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专利号</w:t>
            </w:r>
          </w:p>
        </w:tc>
        <w:tc>
          <w:tcPr>
            <w:tcW w:w="6595" w:type="dxa"/>
            <w:gridSpan w:val="3"/>
            <w:tcBorders>
              <w:top w:val="single" w:color="auto" w:sz="8" w:space="0"/>
              <w:left w:val="nil"/>
              <w:bottom w:val="single" w:color="auto" w:sz="4" w:space="0"/>
              <w:right w:val="single" w:color="000000" w:sz="8" w:space="0"/>
            </w:tcBorders>
            <w:vAlign w:val="bottom"/>
          </w:tcPr>
          <w:p>
            <w:pPr>
              <w:widowControl/>
              <w:jc w:val="center"/>
              <w:rPr>
                <w:rFonts w:ascii="仿宋_GB2312" w:hAnsi="宋体" w:eastAsia="仿宋_GB2312" w:cs="宋体"/>
                <w:kern w:val="0"/>
                <w:sz w:val="28"/>
                <w:szCs w:val="28"/>
              </w:rPr>
            </w:pPr>
            <w:r>
              <w:rPr>
                <w:rFonts w:ascii="仿宋_GB2312" w:hAnsi="宋体" w:eastAsia="仿宋_GB2312" w:cs="宋体"/>
                <w:kern w:val="0"/>
                <w:sz w:val="28"/>
                <w:szCs w:val="28"/>
              </w:rPr>
              <w:t>ZL201310360611.2</w:t>
            </w:r>
          </w:p>
        </w:tc>
      </w:tr>
      <w:tr>
        <w:tblPrEx>
          <w:tblCellMar>
            <w:top w:w="0" w:type="dxa"/>
            <w:left w:w="108" w:type="dxa"/>
            <w:bottom w:w="0" w:type="dxa"/>
            <w:right w:w="108" w:type="dxa"/>
          </w:tblCellMar>
        </w:tblPrEx>
        <w:trPr>
          <w:trHeight w:val="375" w:hRule="atLeast"/>
          <w:jc w:val="center"/>
        </w:trPr>
        <w:tc>
          <w:tcPr>
            <w:tcW w:w="1927" w:type="dxa"/>
            <w:tcBorders>
              <w:top w:val="nil"/>
              <w:left w:val="single" w:color="auto" w:sz="8" w:space="0"/>
              <w:bottom w:val="single" w:color="auto" w:sz="4" w:space="0"/>
              <w:right w:val="single" w:color="auto" w:sz="4"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专利名称</w:t>
            </w:r>
          </w:p>
        </w:tc>
        <w:tc>
          <w:tcPr>
            <w:tcW w:w="6595" w:type="dxa"/>
            <w:gridSpan w:val="3"/>
            <w:tcBorders>
              <w:top w:val="single" w:color="auto" w:sz="4" w:space="0"/>
              <w:left w:val="nil"/>
              <w:bottom w:val="single" w:color="auto" w:sz="4" w:space="0"/>
              <w:right w:val="single" w:color="000000" w:sz="8" w:space="0"/>
            </w:tcBorders>
            <w:vAlign w:val="bottom"/>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双向风速、风向测量的检测装置及检测方法</w:t>
            </w:r>
          </w:p>
        </w:tc>
      </w:tr>
      <w:tr>
        <w:tblPrEx>
          <w:tblCellMar>
            <w:top w:w="0" w:type="dxa"/>
            <w:left w:w="108" w:type="dxa"/>
            <w:bottom w:w="0" w:type="dxa"/>
            <w:right w:w="108" w:type="dxa"/>
          </w:tblCellMar>
        </w:tblPrEx>
        <w:trPr>
          <w:trHeight w:val="375" w:hRule="atLeast"/>
          <w:jc w:val="center"/>
        </w:trPr>
        <w:tc>
          <w:tcPr>
            <w:tcW w:w="1927" w:type="dxa"/>
            <w:tcBorders>
              <w:top w:val="nil"/>
              <w:left w:val="single" w:color="auto" w:sz="8" w:space="0"/>
              <w:bottom w:val="single" w:color="auto" w:sz="4" w:space="0"/>
              <w:right w:val="single" w:color="auto" w:sz="4"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专利权人</w:t>
            </w:r>
          </w:p>
        </w:tc>
        <w:tc>
          <w:tcPr>
            <w:tcW w:w="6595" w:type="dxa"/>
            <w:gridSpan w:val="3"/>
            <w:tcBorders>
              <w:top w:val="single" w:color="auto" w:sz="4" w:space="0"/>
              <w:left w:val="nil"/>
              <w:bottom w:val="single" w:color="auto" w:sz="4" w:space="0"/>
              <w:right w:val="single" w:color="000000" w:sz="8" w:space="0"/>
            </w:tcBorders>
            <w:vAlign w:val="bottom"/>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中煤科工集团重庆研究院有限公司</w:t>
            </w:r>
          </w:p>
        </w:tc>
      </w:tr>
      <w:tr>
        <w:tblPrEx>
          <w:tblCellMar>
            <w:top w:w="0" w:type="dxa"/>
            <w:left w:w="108" w:type="dxa"/>
            <w:bottom w:w="0" w:type="dxa"/>
            <w:right w:w="108" w:type="dxa"/>
          </w:tblCellMar>
        </w:tblPrEx>
        <w:trPr>
          <w:trHeight w:val="375" w:hRule="atLeast"/>
          <w:jc w:val="center"/>
        </w:trPr>
        <w:tc>
          <w:tcPr>
            <w:tcW w:w="1927" w:type="dxa"/>
            <w:tcBorders>
              <w:top w:val="nil"/>
              <w:left w:val="single" w:color="auto" w:sz="8" w:space="0"/>
              <w:bottom w:val="single" w:color="auto" w:sz="4" w:space="0"/>
              <w:right w:val="single" w:color="auto" w:sz="4"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发明人</w:t>
            </w:r>
          </w:p>
        </w:tc>
        <w:tc>
          <w:tcPr>
            <w:tcW w:w="6595" w:type="dxa"/>
            <w:gridSpan w:val="3"/>
            <w:tcBorders>
              <w:top w:val="single" w:color="auto" w:sz="4" w:space="0"/>
              <w:left w:val="nil"/>
              <w:bottom w:val="single" w:color="auto" w:sz="4" w:space="0"/>
              <w:right w:val="single" w:color="000000" w:sz="8" w:space="0"/>
            </w:tcBorders>
            <w:vAlign w:val="bottom"/>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李军；张远征；孙世岭；于庆；莫志刚；吕青松</w:t>
            </w:r>
          </w:p>
        </w:tc>
      </w:tr>
      <w:tr>
        <w:tblPrEx>
          <w:tblCellMar>
            <w:top w:w="0" w:type="dxa"/>
            <w:left w:w="108" w:type="dxa"/>
            <w:bottom w:w="0" w:type="dxa"/>
            <w:right w:w="108" w:type="dxa"/>
          </w:tblCellMar>
        </w:tblPrEx>
        <w:trPr>
          <w:trHeight w:val="375" w:hRule="atLeast"/>
          <w:jc w:val="center"/>
        </w:trPr>
        <w:tc>
          <w:tcPr>
            <w:tcW w:w="1927" w:type="dxa"/>
            <w:tcBorders>
              <w:top w:val="nil"/>
              <w:left w:val="single" w:color="auto" w:sz="8" w:space="0"/>
              <w:bottom w:val="single" w:color="auto" w:sz="4" w:space="0"/>
              <w:right w:val="single" w:color="auto" w:sz="4"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IPC主分类号</w:t>
            </w:r>
          </w:p>
        </w:tc>
        <w:tc>
          <w:tcPr>
            <w:tcW w:w="6595" w:type="dxa"/>
            <w:gridSpan w:val="3"/>
            <w:tcBorders>
              <w:top w:val="single" w:color="auto" w:sz="8" w:space="0"/>
              <w:left w:val="nil"/>
              <w:bottom w:val="single" w:color="auto" w:sz="4" w:space="0"/>
              <w:right w:val="single" w:color="000000" w:sz="8" w:space="0"/>
            </w:tcBorders>
            <w:vAlign w:val="bottom"/>
          </w:tcPr>
          <w:p>
            <w:pPr>
              <w:widowControl/>
              <w:jc w:val="center"/>
              <w:rPr>
                <w:rFonts w:ascii="仿宋_GB2312" w:hAnsi="宋体" w:eastAsia="仿宋_GB2312" w:cs="宋体"/>
                <w:kern w:val="0"/>
                <w:sz w:val="28"/>
                <w:szCs w:val="28"/>
              </w:rPr>
            </w:pPr>
            <w:r>
              <w:rPr>
                <w:rFonts w:ascii="仿宋_GB2312" w:hAnsi="宋体" w:eastAsia="仿宋_GB2312" w:cs="宋体"/>
                <w:sz w:val="28"/>
                <w:szCs w:val="28"/>
              </w:rPr>
              <w:t>G01P 5/14(2006.01)</w:t>
            </w:r>
          </w:p>
        </w:tc>
      </w:tr>
      <w:tr>
        <w:tblPrEx>
          <w:tblCellMar>
            <w:top w:w="0" w:type="dxa"/>
            <w:left w:w="108" w:type="dxa"/>
            <w:bottom w:w="0" w:type="dxa"/>
            <w:right w:w="108" w:type="dxa"/>
          </w:tblCellMar>
        </w:tblPrEx>
        <w:trPr>
          <w:trHeight w:val="375" w:hRule="atLeast"/>
          <w:jc w:val="center"/>
        </w:trPr>
        <w:tc>
          <w:tcPr>
            <w:tcW w:w="1927" w:type="dxa"/>
            <w:tcBorders>
              <w:top w:val="nil"/>
              <w:left w:val="single" w:color="auto" w:sz="8" w:space="0"/>
              <w:bottom w:val="single" w:color="auto" w:sz="4" w:space="0"/>
              <w:right w:val="single" w:color="auto" w:sz="4"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通讯地址</w:t>
            </w:r>
          </w:p>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/邮编</w:t>
            </w:r>
          </w:p>
        </w:tc>
        <w:tc>
          <w:tcPr>
            <w:tcW w:w="6595" w:type="dxa"/>
            <w:gridSpan w:val="3"/>
            <w:tcBorders>
              <w:top w:val="single" w:color="auto" w:sz="4" w:space="0"/>
              <w:left w:val="nil"/>
              <w:bottom w:val="single" w:color="auto" w:sz="4" w:space="0"/>
              <w:right w:val="single" w:color="000000" w:sz="8" w:space="0"/>
            </w:tcBorders>
            <w:vAlign w:val="center"/>
          </w:tcPr>
          <w:p>
            <w:pPr>
              <w:widowControl/>
              <w:rPr>
                <w:rFonts w:ascii="仿宋_GB2312" w:hAnsi="宋体" w:eastAsia="仿宋_GB2312" w:cs="宋体"/>
                <w:kern w:val="0"/>
                <w:sz w:val="28"/>
                <w:szCs w:val="28"/>
              </w:rPr>
            </w:pPr>
            <w:r>
              <w:rPr>
                <w:rFonts w:hint="eastAsia" w:ascii="仿宋_GB2312" w:hAnsi="宋体" w:eastAsia="仿宋_GB2312" w:cs="宋体"/>
                <w:kern w:val="0"/>
                <w:sz w:val="28"/>
                <w:szCs w:val="28"/>
              </w:rPr>
              <w:t>重庆市九龙坡区二郎科技新城科城路6号/400039</w:t>
            </w:r>
          </w:p>
        </w:tc>
      </w:tr>
      <w:tr>
        <w:tblPrEx>
          <w:tblCellMar>
            <w:top w:w="0" w:type="dxa"/>
            <w:left w:w="108" w:type="dxa"/>
            <w:bottom w:w="0" w:type="dxa"/>
            <w:right w:w="108" w:type="dxa"/>
          </w:tblCellMar>
        </w:tblPrEx>
        <w:trPr>
          <w:trHeight w:val="375" w:hRule="atLeast"/>
          <w:jc w:val="center"/>
        </w:trPr>
        <w:tc>
          <w:tcPr>
            <w:tcW w:w="1927" w:type="dxa"/>
            <w:tcBorders>
              <w:top w:val="nil"/>
              <w:left w:val="single" w:color="auto" w:sz="8" w:space="0"/>
              <w:bottom w:val="single" w:color="auto" w:sz="4" w:space="0"/>
              <w:right w:val="single" w:color="auto" w:sz="4"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联系人</w:t>
            </w:r>
            <w:r>
              <w:rPr>
                <w:rFonts w:hint="eastAsia" w:ascii="仿宋_GB2312" w:hAnsi="宋体" w:eastAsia="仿宋_GB2312" w:cs="宋体"/>
                <w:b/>
                <w:bCs/>
                <w:kern w:val="0"/>
                <w:sz w:val="28"/>
                <w:szCs w:val="28"/>
                <w:vertAlign w:val="superscript"/>
              </w:rPr>
              <w:t>1</w:t>
            </w:r>
          </w:p>
        </w:tc>
        <w:tc>
          <w:tcPr>
            <w:tcW w:w="2199" w:type="dxa"/>
            <w:tcBorders>
              <w:top w:val="single" w:color="auto" w:sz="4" w:space="0"/>
              <w:left w:val="nil"/>
              <w:bottom w:val="single" w:color="auto" w:sz="4" w:space="0"/>
              <w:right w:val="single" w:color="000000" w:sz="8" w:space="0"/>
            </w:tcBorders>
            <w:vAlign w:val="bottom"/>
          </w:tcPr>
          <w:p>
            <w:pPr>
              <w:widowControl/>
              <w:jc w:val="center"/>
              <w:rPr>
                <w:rFonts w:ascii="仿宋_GB2312" w:hAnsi="宋体" w:eastAsia="仿宋_GB2312" w:cs="宋体"/>
                <w:kern w:val="0"/>
                <w:sz w:val="28"/>
                <w:szCs w:val="28"/>
              </w:rPr>
            </w:pPr>
            <w:r>
              <w:rPr>
                <w:rFonts w:ascii="仿宋_GB2312" w:hAnsi="宋体" w:eastAsia="仿宋_GB2312" w:cs="宋体"/>
                <w:sz w:val="28"/>
                <w:szCs w:val="28"/>
              </w:rPr>
              <w:t>马代辉</w:t>
            </w:r>
          </w:p>
        </w:tc>
        <w:tc>
          <w:tcPr>
            <w:tcW w:w="2199" w:type="dxa"/>
            <w:tcBorders>
              <w:top w:val="single" w:color="auto" w:sz="4" w:space="0"/>
              <w:left w:val="nil"/>
              <w:bottom w:val="single" w:color="auto" w:sz="4" w:space="0"/>
              <w:right w:val="single" w:color="000000" w:sz="8" w:space="0"/>
            </w:tcBorders>
            <w:vAlign w:val="bottom"/>
          </w:tcPr>
          <w:p>
            <w:pPr>
              <w:widowControl/>
              <w:jc w:val="center"/>
              <w:rPr>
                <w:rFonts w:ascii="仿宋_GB2312" w:hAnsi="宋体" w:eastAsia="仿宋_GB2312" w:cs="宋体"/>
                <w:kern w:val="0"/>
                <w:sz w:val="28"/>
                <w:szCs w:val="28"/>
              </w:rPr>
            </w:pPr>
            <w:r>
              <w:rPr>
                <w:rFonts w:hint="eastAsia" w:ascii="仿宋_GB2312" w:hAnsi="宋体" w:eastAsia="仿宋_GB2312" w:cs="宋体"/>
                <w:b/>
                <w:bCs/>
                <w:kern w:val="0"/>
                <w:sz w:val="28"/>
                <w:szCs w:val="28"/>
              </w:rPr>
              <w:t>手机</w:t>
            </w:r>
            <w:r>
              <w:rPr>
                <w:rFonts w:hint="eastAsia" w:ascii="仿宋_GB2312" w:hAnsi="宋体" w:eastAsia="仿宋_GB2312" w:cs="宋体"/>
                <w:b/>
                <w:bCs/>
                <w:kern w:val="0"/>
                <w:sz w:val="28"/>
                <w:szCs w:val="28"/>
                <w:vertAlign w:val="superscript"/>
              </w:rPr>
              <w:t>1</w:t>
            </w:r>
          </w:p>
        </w:tc>
        <w:tc>
          <w:tcPr>
            <w:tcW w:w="2197" w:type="dxa"/>
            <w:tcBorders>
              <w:top w:val="single" w:color="auto" w:sz="4" w:space="0"/>
              <w:left w:val="nil"/>
              <w:bottom w:val="single" w:color="auto" w:sz="4" w:space="0"/>
              <w:right w:val="single" w:color="000000" w:sz="8" w:space="0"/>
            </w:tcBorders>
            <w:vAlign w:val="bottom"/>
          </w:tcPr>
          <w:p>
            <w:pPr>
              <w:widowControl/>
              <w:jc w:val="center"/>
              <w:rPr>
                <w:rFonts w:ascii="仿宋_GB2312" w:hAnsi="宋体" w:eastAsia="仿宋_GB2312" w:cs="宋体"/>
                <w:kern w:val="0"/>
                <w:sz w:val="28"/>
                <w:szCs w:val="28"/>
              </w:rPr>
            </w:pPr>
            <w:r>
              <w:rPr>
                <w:rFonts w:ascii="仿宋_GB2312" w:hAnsi="宋体" w:eastAsia="仿宋_GB2312" w:cs="宋体"/>
                <w:sz w:val="28"/>
                <w:szCs w:val="28"/>
              </w:rPr>
              <w:t>13983650899</w:t>
            </w:r>
          </w:p>
        </w:tc>
      </w:tr>
      <w:tr>
        <w:tblPrEx>
          <w:tblCellMar>
            <w:top w:w="0" w:type="dxa"/>
            <w:left w:w="108" w:type="dxa"/>
            <w:bottom w:w="0" w:type="dxa"/>
            <w:right w:w="108" w:type="dxa"/>
          </w:tblCellMar>
        </w:tblPrEx>
        <w:trPr>
          <w:trHeight w:val="375" w:hRule="atLeast"/>
          <w:jc w:val="center"/>
        </w:trPr>
        <w:tc>
          <w:tcPr>
            <w:tcW w:w="1927" w:type="dxa"/>
            <w:tcBorders>
              <w:top w:val="nil"/>
              <w:left w:val="single" w:color="auto" w:sz="8" w:space="0"/>
              <w:bottom w:val="single" w:color="auto" w:sz="4" w:space="0"/>
              <w:right w:val="single" w:color="auto" w:sz="4" w:space="0"/>
            </w:tcBorders>
            <w:vAlign w:val="center"/>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办公电话</w:t>
            </w:r>
            <w:r>
              <w:rPr>
                <w:rFonts w:hint="eastAsia" w:ascii="仿宋_GB2312" w:hAnsi="宋体" w:eastAsia="仿宋_GB2312" w:cs="宋体"/>
                <w:b/>
                <w:bCs/>
                <w:kern w:val="0"/>
                <w:sz w:val="28"/>
                <w:szCs w:val="28"/>
                <w:vertAlign w:val="superscript"/>
              </w:rPr>
              <w:t>1</w:t>
            </w:r>
          </w:p>
        </w:tc>
        <w:tc>
          <w:tcPr>
            <w:tcW w:w="2199" w:type="dxa"/>
            <w:tcBorders>
              <w:top w:val="nil"/>
              <w:left w:val="nil"/>
              <w:bottom w:val="single" w:color="auto" w:sz="4" w:space="0"/>
              <w:right w:val="single" w:color="auto" w:sz="8" w:space="0"/>
            </w:tcBorders>
            <w:vAlign w:val="center"/>
          </w:tcPr>
          <w:p>
            <w:pPr>
              <w:widowControl/>
              <w:jc w:val="center"/>
              <w:rPr>
                <w:rFonts w:ascii="仿宋_GB2312" w:hAnsi="宋体" w:eastAsia="仿宋_GB2312" w:cs="宋体"/>
                <w:b/>
                <w:bCs/>
                <w:kern w:val="0"/>
                <w:sz w:val="28"/>
                <w:szCs w:val="28"/>
              </w:rPr>
            </w:pPr>
            <w:r>
              <w:rPr>
                <w:rFonts w:ascii="仿宋_GB2312" w:hAnsi="宋体" w:eastAsia="仿宋_GB2312" w:cs="宋体"/>
                <w:sz w:val="28"/>
                <w:szCs w:val="28"/>
              </w:rPr>
              <w:t>023-68683268</w:t>
            </w:r>
          </w:p>
        </w:tc>
        <w:tc>
          <w:tcPr>
            <w:tcW w:w="2199" w:type="dxa"/>
            <w:tcBorders>
              <w:top w:val="nil"/>
              <w:left w:val="nil"/>
              <w:bottom w:val="single" w:color="auto" w:sz="4" w:space="0"/>
              <w:right w:val="single" w:color="auto" w:sz="8" w:space="0"/>
            </w:tcBorders>
            <w:vAlign w:val="center"/>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电子邮箱</w:t>
            </w:r>
            <w:r>
              <w:rPr>
                <w:rFonts w:hint="eastAsia" w:ascii="仿宋_GB2312" w:hAnsi="宋体" w:eastAsia="仿宋_GB2312" w:cs="宋体"/>
                <w:b/>
                <w:bCs/>
                <w:kern w:val="0"/>
                <w:sz w:val="28"/>
                <w:szCs w:val="28"/>
                <w:vertAlign w:val="superscript"/>
              </w:rPr>
              <w:t>1</w:t>
            </w:r>
          </w:p>
        </w:tc>
        <w:tc>
          <w:tcPr>
            <w:tcW w:w="2197" w:type="dxa"/>
            <w:tcBorders>
              <w:top w:val="nil"/>
              <w:left w:val="nil"/>
              <w:bottom w:val="single" w:color="auto" w:sz="4" w:space="0"/>
              <w:right w:val="single" w:color="auto" w:sz="8" w:space="0"/>
            </w:tcBorders>
            <w:vAlign w:val="bottom"/>
          </w:tcPr>
          <w:p>
            <w:pPr>
              <w:widowControl/>
              <w:jc w:val="center"/>
              <w:rPr>
                <w:rFonts w:ascii="仿宋_GB2312" w:hAnsi="宋体" w:eastAsia="仿宋_GB2312" w:cs="宋体"/>
                <w:b/>
                <w:bCs/>
                <w:kern w:val="0"/>
                <w:sz w:val="28"/>
                <w:szCs w:val="28"/>
              </w:rPr>
            </w:pPr>
            <w:r>
              <w:rPr>
                <w:rFonts w:ascii="仿宋_GB2312" w:hAnsi="宋体" w:eastAsia="仿宋_GB2312" w:cs="宋体"/>
                <w:sz w:val="24"/>
              </w:rPr>
              <w:t>2492150594@qq.com</w:t>
            </w:r>
          </w:p>
        </w:tc>
      </w:tr>
      <w:tr>
        <w:tblPrEx>
          <w:tblCellMar>
            <w:top w:w="0" w:type="dxa"/>
            <w:left w:w="108" w:type="dxa"/>
            <w:bottom w:w="0" w:type="dxa"/>
            <w:right w:w="108" w:type="dxa"/>
          </w:tblCellMar>
        </w:tblPrEx>
        <w:trPr>
          <w:trHeight w:val="375" w:hRule="atLeast"/>
          <w:jc w:val="center"/>
        </w:trPr>
        <w:tc>
          <w:tcPr>
            <w:tcW w:w="1927" w:type="dxa"/>
            <w:tcBorders>
              <w:top w:val="nil"/>
              <w:left w:val="single" w:color="auto" w:sz="8" w:space="0"/>
              <w:bottom w:val="single" w:color="auto" w:sz="4" w:space="0"/>
              <w:right w:val="single" w:color="auto" w:sz="4" w:space="0"/>
            </w:tcBorders>
            <w:vAlign w:val="center"/>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联系人</w:t>
            </w:r>
            <w:r>
              <w:rPr>
                <w:rFonts w:hint="eastAsia" w:ascii="仿宋_GB2312" w:hAnsi="宋体" w:eastAsia="仿宋_GB2312" w:cs="宋体"/>
                <w:b/>
                <w:bCs/>
                <w:kern w:val="0"/>
                <w:sz w:val="28"/>
                <w:szCs w:val="28"/>
                <w:vertAlign w:val="superscript"/>
              </w:rPr>
              <w:t>2</w:t>
            </w:r>
          </w:p>
        </w:tc>
        <w:tc>
          <w:tcPr>
            <w:tcW w:w="2199" w:type="dxa"/>
            <w:tcBorders>
              <w:top w:val="single" w:color="auto" w:sz="4" w:space="0"/>
              <w:left w:val="nil"/>
              <w:bottom w:val="single" w:color="auto" w:sz="4" w:space="0"/>
              <w:right w:val="single" w:color="000000" w:sz="8" w:space="0"/>
            </w:tcBorders>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sz w:val="28"/>
                <w:szCs w:val="28"/>
              </w:rPr>
              <w:t>张远征</w:t>
            </w:r>
          </w:p>
        </w:tc>
        <w:tc>
          <w:tcPr>
            <w:tcW w:w="2199" w:type="dxa"/>
            <w:tcBorders>
              <w:top w:val="single" w:color="auto" w:sz="4" w:space="0"/>
              <w:left w:val="nil"/>
              <w:bottom w:val="single" w:color="auto" w:sz="4" w:space="0"/>
              <w:right w:val="single" w:color="000000" w:sz="8" w:space="0"/>
            </w:tcBorders>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b/>
                <w:bCs/>
                <w:kern w:val="0"/>
                <w:sz w:val="28"/>
                <w:szCs w:val="28"/>
              </w:rPr>
              <w:t>手机</w:t>
            </w:r>
            <w:r>
              <w:rPr>
                <w:rFonts w:hint="eastAsia" w:ascii="仿宋_GB2312" w:hAnsi="宋体" w:eastAsia="仿宋_GB2312" w:cs="宋体"/>
                <w:b/>
                <w:bCs/>
                <w:kern w:val="0"/>
                <w:sz w:val="28"/>
                <w:szCs w:val="28"/>
                <w:vertAlign w:val="superscript"/>
              </w:rPr>
              <w:t>2</w:t>
            </w:r>
          </w:p>
        </w:tc>
        <w:tc>
          <w:tcPr>
            <w:tcW w:w="2197" w:type="dxa"/>
            <w:tcBorders>
              <w:top w:val="single" w:color="auto" w:sz="4" w:space="0"/>
              <w:left w:val="nil"/>
              <w:bottom w:val="single" w:color="auto" w:sz="4" w:space="0"/>
              <w:right w:val="single" w:color="000000" w:sz="8" w:space="0"/>
            </w:tcBorders>
            <w:vAlign w:val="bottom"/>
          </w:tcPr>
          <w:p>
            <w:pPr>
              <w:widowControl/>
              <w:jc w:val="center"/>
              <w:rPr>
                <w:rFonts w:ascii="仿宋_GB2312" w:hAnsi="宋体" w:eastAsia="仿宋_GB2312" w:cs="宋体"/>
                <w:kern w:val="0"/>
                <w:sz w:val="28"/>
                <w:szCs w:val="28"/>
              </w:rPr>
            </w:pPr>
            <w:r>
              <w:rPr>
                <w:rFonts w:hint="eastAsia" w:ascii="仿宋_GB2312" w:hAnsi="宋体" w:eastAsia="仿宋_GB2312" w:cs="宋体"/>
                <w:sz w:val="28"/>
                <w:szCs w:val="28"/>
              </w:rPr>
              <w:t>1</w:t>
            </w:r>
            <w:r>
              <w:rPr>
                <w:rFonts w:ascii="仿宋_GB2312" w:hAnsi="宋体" w:eastAsia="仿宋_GB2312" w:cs="宋体"/>
                <w:sz w:val="28"/>
                <w:szCs w:val="28"/>
              </w:rPr>
              <w:t>3883331221</w:t>
            </w:r>
          </w:p>
        </w:tc>
      </w:tr>
      <w:tr>
        <w:tblPrEx>
          <w:tblCellMar>
            <w:top w:w="0" w:type="dxa"/>
            <w:left w:w="108" w:type="dxa"/>
            <w:bottom w:w="0" w:type="dxa"/>
            <w:right w:w="108" w:type="dxa"/>
          </w:tblCellMar>
        </w:tblPrEx>
        <w:trPr>
          <w:trHeight w:val="375" w:hRule="atLeast"/>
          <w:jc w:val="center"/>
        </w:trPr>
        <w:tc>
          <w:tcPr>
            <w:tcW w:w="1927" w:type="dxa"/>
            <w:tcBorders>
              <w:top w:val="nil"/>
              <w:left w:val="single" w:color="auto" w:sz="8" w:space="0"/>
              <w:bottom w:val="single" w:color="auto" w:sz="4" w:space="0"/>
              <w:right w:val="single" w:color="auto" w:sz="4" w:space="0"/>
            </w:tcBorders>
            <w:vAlign w:val="center"/>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办公电话</w:t>
            </w:r>
            <w:r>
              <w:rPr>
                <w:rFonts w:hint="eastAsia" w:ascii="仿宋_GB2312" w:hAnsi="宋体" w:eastAsia="仿宋_GB2312" w:cs="宋体"/>
                <w:b/>
                <w:bCs/>
                <w:kern w:val="0"/>
                <w:sz w:val="28"/>
                <w:szCs w:val="28"/>
                <w:vertAlign w:val="superscript"/>
              </w:rPr>
              <w:t>2</w:t>
            </w:r>
          </w:p>
        </w:tc>
        <w:tc>
          <w:tcPr>
            <w:tcW w:w="2199" w:type="dxa"/>
            <w:tcBorders>
              <w:top w:val="nil"/>
              <w:left w:val="nil"/>
              <w:bottom w:val="single" w:color="auto" w:sz="4" w:space="0"/>
              <w:right w:val="single" w:color="auto" w:sz="8" w:space="0"/>
            </w:tcBorders>
            <w:vAlign w:val="center"/>
          </w:tcPr>
          <w:p>
            <w:pPr>
              <w:widowControl/>
              <w:jc w:val="center"/>
              <w:rPr>
                <w:rFonts w:ascii="仿宋_GB2312" w:hAnsi="宋体" w:eastAsia="仿宋_GB2312" w:cs="宋体"/>
                <w:b/>
                <w:bCs/>
                <w:kern w:val="0"/>
                <w:sz w:val="28"/>
                <w:szCs w:val="28"/>
              </w:rPr>
            </w:pPr>
            <w:r>
              <w:rPr>
                <w:rFonts w:hint="eastAsia" w:ascii="仿宋_GB2312" w:hAnsi="宋体" w:eastAsia="仿宋_GB2312" w:cs="宋体"/>
                <w:sz w:val="28"/>
                <w:szCs w:val="28"/>
              </w:rPr>
              <w:t>023-65239262</w:t>
            </w:r>
          </w:p>
        </w:tc>
        <w:tc>
          <w:tcPr>
            <w:tcW w:w="2199" w:type="dxa"/>
            <w:tcBorders>
              <w:top w:val="nil"/>
              <w:left w:val="nil"/>
              <w:bottom w:val="single" w:color="auto" w:sz="4" w:space="0"/>
              <w:right w:val="single" w:color="auto" w:sz="8" w:space="0"/>
            </w:tcBorders>
            <w:vAlign w:val="center"/>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电子邮箱</w:t>
            </w:r>
            <w:r>
              <w:rPr>
                <w:rFonts w:hint="eastAsia" w:ascii="仿宋_GB2312" w:hAnsi="宋体" w:eastAsia="仿宋_GB2312" w:cs="宋体"/>
                <w:b/>
                <w:bCs/>
                <w:kern w:val="0"/>
                <w:sz w:val="28"/>
                <w:szCs w:val="28"/>
                <w:vertAlign w:val="superscript"/>
              </w:rPr>
              <w:t>2</w:t>
            </w:r>
          </w:p>
        </w:tc>
        <w:tc>
          <w:tcPr>
            <w:tcW w:w="2197" w:type="dxa"/>
            <w:tcBorders>
              <w:top w:val="nil"/>
              <w:left w:val="nil"/>
              <w:bottom w:val="single" w:color="auto" w:sz="4" w:space="0"/>
              <w:right w:val="single" w:color="auto" w:sz="8"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sz w:val="28"/>
                <w:szCs w:val="28"/>
              </w:rPr>
              <w:t>1</w:t>
            </w:r>
            <w:r>
              <w:rPr>
                <w:rFonts w:ascii="仿宋_GB2312" w:hAnsi="宋体" w:eastAsia="仿宋_GB2312" w:cs="宋体"/>
                <w:sz w:val="28"/>
                <w:szCs w:val="28"/>
              </w:rPr>
              <w:t>271759</w:t>
            </w:r>
            <w:r>
              <w:rPr>
                <w:rFonts w:ascii="仿宋_GB2312" w:hAnsi="宋体" w:eastAsia="仿宋_GB2312" w:cs="宋体"/>
                <w:sz w:val="24"/>
              </w:rPr>
              <w:t>@qq.com</w:t>
            </w:r>
          </w:p>
        </w:tc>
      </w:tr>
      <w:tr>
        <w:tblPrEx>
          <w:tblCellMar>
            <w:top w:w="0" w:type="dxa"/>
            <w:left w:w="108" w:type="dxa"/>
            <w:bottom w:w="0" w:type="dxa"/>
            <w:right w:w="108" w:type="dxa"/>
          </w:tblCellMar>
        </w:tblPrEx>
        <w:trPr>
          <w:trHeight w:val="375" w:hRule="atLeast"/>
          <w:jc w:val="center"/>
        </w:trPr>
        <w:tc>
          <w:tcPr>
            <w:tcW w:w="1927" w:type="dxa"/>
            <w:tcBorders>
              <w:top w:val="nil"/>
              <w:left w:val="single" w:color="auto" w:sz="8" w:space="0"/>
              <w:bottom w:val="single" w:color="auto" w:sz="4" w:space="0"/>
              <w:right w:val="single" w:color="auto" w:sz="4" w:space="0"/>
            </w:tcBorders>
            <w:vAlign w:val="bottom"/>
          </w:tcPr>
          <w:p>
            <w:pPr>
              <w:widowControl/>
              <w:ind w:firstLine="275" w:firstLineChars="98"/>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推荐单位</w:t>
            </w:r>
          </w:p>
        </w:tc>
        <w:tc>
          <w:tcPr>
            <w:tcW w:w="6595" w:type="dxa"/>
            <w:gridSpan w:val="3"/>
            <w:tcBorders>
              <w:top w:val="single" w:color="auto" w:sz="8" w:space="0"/>
              <w:left w:val="nil"/>
              <w:bottom w:val="single" w:color="auto" w:sz="4" w:space="0"/>
              <w:right w:val="single" w:color="000000" w:sz="8" w:space="0"/>
            </w:tcBorders>
            <w:vAlign w:val="bottom"/>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中华人民共和国应急管理部</w:t>
            </w:r>
            <w:bookmarkStart w:id="7" w:name="_GoBack"/>
            <w:bookmarkEnd w:id="7"/>
          </w:p>
        </w:tc>
      </w:tr>
    </w:tbl>
    <w:p/>
    <w:p/>
    <w:p>
      <w:pPr>
        <w:jc w:val="center"/>
        <w:rPr>
          <w:rFonts w:eastAsia="方正小标宋简体"/>
          <w:b/>
          <w:sz w:val="44"/>
        </w:rPr>
      </w:pPr>
      <w:r>
        <w:rPr>
          <w:rFonts w:eastAsia="方正小标宋简体"/>
          <w:sz w:val="44"/>
        </w:rPr>
        <w:br w:type="page"/>
      </w:r>
      <w:r>
        <w:rPr>
          <w:rFonts w:hint="eastAsia" w:eastAsia="方正小标宋简体"/>
          <w:b/>
          <w:sz w:val="44"/>
        </w:rPr>
        <w:t>二、专利质量评价材料</w:t>
      </w:r>
    </w:p>
    <w:p>
      <w:pPr>
        <w:jc w:val="center"/>
        <w:rPr>
          <w:rFonts w:eastAsia="方正小标宋简体"/>
          <w:sz w:val="44"/>
        </w:rPr>
      </w:pPr>
    </w:p>
    <w:tbl>
      <w:tblPr>
        <w:tblStyle w:val="8"/>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3" w:hRule="atLeast"/>
          <w:jc w:val="center"/>
        </w:trPr>
        <w:tc>
          <w:tcPr>
            <w:tcW w:w="9068" w:type="dxa"/>
          </w:tcPr>
          <w:p>
            <w:pPr>
              <w:spacing w:line="360" w:lineRule="auto"/>
              <w:ind w:firstLine="482" w:firstLineChars="200"/>
              <w:rPr>
                <w:rFonts w:ascii="仿宋_GB2312" w:eastAsia="仿宋_GB2312"/>
                <w:sz w:val="24"/>
              </w:rPr>
            </w:pPr>
            <w:r>
              <w:rPr>
                <w:rFonts w:hint="eastAsia" w:ascii="仿宋_GB2312" w:eastAsia="仿宋_GB2312"/>
                <w:b/>
                <w:sz w:val="24"/>
              </w:rPr>
              <w:t>评价“三性”和“文本质量”,说明参评专利质量的优秀程度</w:t>
            </w:r>
          </w:p>
          <w:p>
            <w:pPr>
              <w:spacing w:line="360" w:lineRule="auto"/>
              <w:ind w:firstLine="482" w:firstLineChars="200"/>
              <w:rPr>
                <w:rFonts w:ascii="仿宋_GB2312" w:eastAsia="仿宋_GB2312"/>
                <w:sz w:val="24"/>
              </w:rPr>
            </w:pPr>
            <w:r>
              <w:rPr>
                <w:rFonts w:hint="eastAsia" w:ascii="仿宋_GB2312" w:eastAsia="仿宋_GB2312"/>
                <w:b/>
                <w:sz w:val="24"/>
              </w:rPr>
              <w:t>（一）新颖性和创造性</w:t>
            </w:r>
            <w:r>
              <w:rPr>
                <w:rFonts w:hint="eastAsia" w:ascii="仿宋_GB2312" w:eastAsia="仿宋_GB2312"/>
                <w:sz w:val="24"/>
              </w:rPr>
              <w:t>：</w:t>
            </w:r>
            <w:r>
              <w:rPr>
                <w:rFonts w:ascii="仿宋_GB2312" w:eastAsia="仿宋_GB2312"/>
                <w:sz w:val="24"/>
              </w:rPr>
              <w:t xml:space="preserve"> </w:t>
            </w:r>
          </w:p>
          <w:p>
            <w:pPr>
              <w:spacing w:line="360" w:lineRule="auto"/>
              <w:ind w:firstLine="482" w:firstLineChars="200"/>
              <w:rPr>
                <w:b/>
                <w:bCs/>
                <w:sz w:val="24"/>
              </w:rPr>
            </w:pPr>
            <w:r>
              <w:rPr>
                <w:rFonts w:hint="eastAsia"/>
                <w:b/>
                <w:bCs/>
                <w:sz w:val="24"/>
              </w:rPr>
              <w:t>1.技术背景</w:t>
            </w:r>
          </w:p>
          <w:p>
            <w:pPr>
              <w:spacing w:line="360" w:lineRule="auto"/>
              <w:ind w:firstLine="482" w:firstLineChars="200"/>
              <w:rPr>
                <w:rFonts w:ascii="仿宋" w:hAnsi="仿宋" w:eastAsia="仿宋"/>
                <w:sz w:val="24"/>
              </w:rPr>
            </w:pPr>
            <w:r>
              <w:rPr>
                <w:rFonts w:hint="eastAsia"/>
                <w:b/>
                <w:bCs/>
                <w:sz w:val="24"/>
              </w:rPr>
              <w:t>风速、风量测量是煤矿安全监控的重要参数</w:t>
            </w:r>
            <w:r>
              <w:rPr>
                <w:rFonts w:hint="eastAsia"/>
                <w:sz w:val="24"/>
              </w:rPr>
              <w:t>，对保障安全生产有着举足轻重的作用。目前，国内外用于煤矿风速、风量测量的方法主要</w:t>
            </w:r>
            <w:r>
              <w:rPr>
                <w:sz w:val="24"/>
              </w:rPr>
              <w:t>有</w:t>
            </w:r>
            <w:r>
              <w:rPr>
                <w:rFonts w:hint="eastAsia"/>
                <w:sz w:val="24"/>
              </w:rPr>
              <w:t>风轮式、差压式、超声波涡街等。风轮式风速检测方法采用机械转动部件转换测量，易受环境腐蚀，测量精度不高；超声波涡街风速检测方法采用旋涡频率测量，探头表面附着粉尘易对频率信号测量产生影响，测量失效；</w:t>
            </w:r>
            <w:r>
              <w:rPr>
                <w:rFonts w:hint="eastAsia"/>
                <w:b/>
                <w:bCs/>
                <w:sz w:val="24"/>
              </w:rPr>
              <w:t>差压式风速检测方法多采用标准皮托管取压测量，微孔易堵塞，且微差压元件具有零点漂移缺陷，</w:t>
            </w:r>
            <w:r>
              <w:rPr>
                <w:b/>
                <w:bCs/>
                <w:sz w:val="24"/>
              </w:rPr>
              <w:t>1</w:t>
            </w:r>
            <w:r>
              <w:rPr>
                <w:rFonts w:hint="eastAsia"/>
                <w:b/>
                <w:bCs/>
                <w:sz w:val="24"/>
              </w:rPr>
              <w:t>.</w:t>
            </w:r>
            <w:r>
              <w:rPr>
                <w:b/>
                <w:bCs/>
                <w:sz w:val="24"/>
              </w:rPr>
              <w:t>0</w:t>
            </w:r>
            <w:r>
              <w:rPr>
                <w:rFonts w:hint="eastAsia"/>
                <w:b/>
                <w:bCs/>
                <w:sz w:val="24"/>
              </w:rPr>
              <w:t>m/s以下风速测量精度不高，需要人工定期清理和校准，维护工作量大</w:t>
            </w:r>
            <w:r>
              <w:rPr>
                <w:rFonts w:hint="eastAsia"/>
                <w:sz w:val="24"/>
              </w:rPr>
              <w:t>。为提高风速测量精度和稳定性，多家科研机构已开展了超声波时差法、激光多普勒法的研究，尚处于技术研究阶段，未大量推广应用。为适应煤矿现场高粉尘、高湿度的工矿环境，</w:t>
            </w:r>
            <w:r>
              <w:rPr>
                <w:rFonts w:hint="eastAsia"/>
                <w:b/>
                <w:bCs/>
                <w:sz w:val="24"/>
              </w:rPr>
              <w:t>风速、风量测量仍采用差压式检测方法</w:t>
            </w:r>
            <w:r>
              <w:rPr>
                <w:rFonts w:hint="eastAsia"/>
                <w:sz w:val="24"/>
              </w:rPr>
              <w:t>。</w:t>
            </w:r>
          </w:p>
          <w:p>
            <w:pPr>
              <w:spacing w:line="360" w:lineRule="auto"/>
              <w:ind w:firstLine="482" w:firstLineChars="200"/>
              <w:rPr>
                <w:b/>
                <w:bCs/>
                <w:sz w:val="24"/>
              </w:rPr>
            </w:pPr>
            <w:r>
              <w:rPr>
                <w:rFonts w:hint="eastAsia"/>
                <w:b/>
                <w:bCs/>
                <w:sz w:val="24"/>
              </w:rPr>
              <w:t>2.技术方案</w:t>
            </w:r>
          </w:p>
          <w:p>
            <w:pPr>
              <w:adjustRightInd w:val="0"/>
              <w:spacing w:line="360" w:lineRule="auto"/>
              <w:ind w:firstLine="480" w:firstLineChars="200"/>
              <w:rPr>
                <w:sz w:val="24"/>
              </w:rPr>
            </w:pPr>
            <w:r>
              <w:rPr>
                <w:rFonts w:hint="eastAsia"/>
                <w:sz w:val="24"/>
              </w:rPr>
              <w:t>针对差压式检测技术存在的测量下限不够、测量误差大及自动化水平低的关键技术问题，</w:t>
            </w:r>
            <w:r>
              <w:rPr>
                <w:sz w:val="24"/>
              </w:rPr>
              <w:t>专利权人发明的“</w:t>
            </w:r>
            <w:r>
              <w:rPr>
                <w:rFonts w:hint="eastAsia"/>
                <w:sz w:val="24"/>
              </w:rPr>
              <w:t>双向风速、风向测量的检测装置及检测方法</w:t>
            </w:r>
            <w:r>
              <w:rPr>
                <w:sz w:val="24"/>
              </w:rPr>
              <w:t>”，</w:t>
            </w:r>
            <w:r>
              <w:rPr>
                <w:rFonts w:hint="eastAsia"/>
                <w:b/>
                <w:bCs/>
                <w:sz w:val="24"/>
              </w:rPr>
              <w:t>基于差压零点自动校准风（流）速检测</w:t>
            </w:r>
            <w:r>
              <w:rPr>
                <w:b/>
                <w:bCs/>
                <w:sz w:val="24"/>
              </w:rPr>
              <w:t>技术，通过</w:t>
            </w:r>
            <w:r>
              <w:rPr>
                <w:rFonts w:hint="eastAsia"/>
                <w:b/>
                <w:bCs/>
                <w:sz w:val="24"/>
              </w:rPr>
              <w:t>微差压元件、电磁阀组、微控制器一体化模块设计，从本质上解决了微差压元件在工矿条件下，特别是由温度变化等引起的零点漂移，造成测量下限不够、精度误差大的问题，在（0～40）℃范围内零点变化量小于0.1Pa，实现矿井风速监测和管道气体流速（量）的高精度、准确测量，误差达到±0.1m/s</w:t>
            </w:r>
            <w:r>
              <w:rPr>
                <w:sz w:val="24"/>
              </w:rPr>
              <w:t>该发明</w:t>
            </w:r>
            <w:r>
              <w:rPr>
                <w:rFonts w:hint="eastAsia"/>
                <w:sz w:val="24"/>
              </w:rPr>
              <w:t>实现检测过程的自动校正，减少了工作人员下井维护频次，</w:t>
            </w:r>
            <w:r>
              <w:rPr>
                <w:sz w:val="24"/>
              </w:rPr>
              <w:t>还为今后实现无人化开采奠定传感技术基础</w:t>
            </w:r>
            <w:r>
              <w:rPr>
                <w:rFonts w:hint="eastAsia"/>
                <w:sz w:val="24"/>
              </w:rPr>
              <w:t>。该发明是国内工矿体流速测量</w:t>
            </w:r>
            <w:r>
              <w:rPr>
                <w:sz w:val="24"/>
              </w:rPr>
              <w:t>领域内</w:t>
            </w:r>
            <w:r>
              <w:rPr>
                <w:rFonts w:hint="eastAsia"/>
                <w:sz w:val="24"/>
              </w:rPr>
              <w:t>，独家</w:t>
            </w:r>
            <w:r>
              <w:rPr>
                <w:sz w:val="24"/>
              </w:rPr>
              <w:t>提出并实现自</w:t>
            </w:r>
            <w:r>
              <w:rPr>
                <w:rFonts w:hint="eastAsia"/>
                <w:sz w:val="24"/>
              </w:rPr>
              <w:t>动</w:t>
            </w:r>
            <w:r>
              <w:rPr>
                <w:sz w:val="24"/>
              </w:rPr>
              <w:t>校</w:t>
            </w:r>
            <w:r>
              <w:rPr>
                <w:rFonts w:hint="eastAsia"/>
                <w:sz w:val="24"/>
              </w:rPr>
              <w:t>准</w:t>
            </w:r>
            <w:r>
              <w:rPr>
                <w:sz w:val="24"/>
              </w:rPr>
              <w:t>的</w:t>
            </w:r>
            <w:r>
              <w:rPr>
                <w:rFonts w:hint="eastAsia"/>
                <w:sz w:val="24"/>
              </w:rPr>
              <w:t>高精度风（流）速</w:t>
            </w:r>
            <w:r>
              <w:rPr>
                <w:sz w:val="24"/>
              </w:rPr>
              <w:t>检测技术</w:t>
            </w:r>
            <w:r>
              <w:rPr>
                <w:rFonts w:hint="eastAsia"/>
                <w:sz w:val="24"/>
              </w:rPr>
              <w:t>，其新颖性和创造性如下：</w:t>
            </w:r>
          </w:p>
          <w:p>
            <w:pPr>
              <w:adjustRightInd w:val="0"/>
              <w:spacing w:line="360" w:lineRule="auto"/>
              <w:jc w:val="center"/>
              <w:rPr>
                <w:sz w:val="24"/>
              </w:rPr>
            </w:pPr>
          </w:p>
          <w:p>
            <w:pPr>
              <w:adjustRightInd w:val="0"/>
              <w:spacing w:line="360" w:lineRule="auto"/>
              <w:jc w:val="center"/>
              <w:rPr>
                <w:sz w:val="24"/>
              </w:rPr>
            </w:pPr>
          </w:p>
          <w:p>
            <w:pPr>
              <w:adjustRightInd w:val="0"/>
              <w:spacing w:line="360" w:lineRule="auto"/>
              <w:jc w:val="center"/>
              <w:rPr>
                <w:sz w:val="24"/>
              </w:rPr>
            </w:pPr>
            <w:r>
              <w:object>
                <v:shape id="_x0000_i1025" o:spt="75" type="#_x0000_t75" style="height:157.85pt;width:375.25pt;" o:ole="t" filled="f" o:preferrelative="t" stroked="f" coordsize="21600,21600">
                  <v:path/>
                  <v:fill on="f" focussize="0,0"/>
                  <v:stroke on="f" joinstyle="miter"/>
                  <v:imagedata r:id="rId5" o:title=""/>
                  <o:lock v:ext="edit" aspectratio="t"/>
                  <w10:wrap type="none"/>
                  <w10:anchorlock/>
                </v:shape>
                <o:OLEObject Type="Embed" ProgID="Visio.Drawing.11" ShapeID="_x0000_i1025" DrawAspect="Content" ObjectID="_1468075725" r:id="rId4">
                  <o:LockedField>false</o:LockedField>
                </o:OLEObject>
              </w:object>
            </w:r>
          </w:p>
          <w:p>
            <w:pPr>
              <w:adjustRightInd w:val="0"/>
              <w:spacing w:line="360" w:lineRule="auto"/>
              <w:jc w:val="center"/>
              <w:rPr>
                <w:rFonts w:ascii="黑体" w:hAnsi="黑体" w:eastAsia="黑体" w:cs="黑体"/>
                <w:szCs w:val="21"/>
              </w:rPr>
            </w:pPr>
            <w:r>
              <w:rPr>
                <w:rFonts w:hint="eastAsia" w:ascii="黑体" w:hAnsi="黑体" w:eastAsia="黑体" w:cs="黑体"/>
                <w:szCs w:val="21"/>
              </w:rPr>
              <w:t>图</w:t>
            </w:r>
            <w:r>
              <w:rPr>
                <w:rFonts w:ascii="黑体" w:hAnsi="黑体" w:eastAsia="黑体" w:cs="黑体"/>
                <w:szCs w:val="21"/>
              </w:rPr>
              <w:t>1</w:t>
            </w:r>
            <w:r>
              <w:rPr>
                <w:rFonts w:hint="eastAsia" w:ascii="黑体" w:hAnsi="黑体" w:eastAsia="黑体" w:cs="黑体"/>
                <w:szCs w:val="21"/>
              </w:rPr>
              <w:t xml:space="preserve"> 取样探头结构示意图实施例</w:t>
            </w:r>
          </w:p>
          <w:p>
            <w:pPr>
              <w:adjustRightInd w:val="0"/>
              <w:spacing w:line="360" w:lineRule="auto"/>
              <w:ind w:firstLine="480" w:firstLineChars="200"/>
              <w:rPr>
                <w:sz w:val="24"/>
              </w:rPr>
            </w:pPr>
            <w:r>
              <w:rPr>
                <w:rFonts w:hint="eastAsia"/>
                <w:sz w:val="24"/>
              </w:rPr>
              <w:t>（1）</w:t>
            </w:r>
            <w:r>
              <w:rPr>
                <w:rFonts w:hint="eastAsia"/>
                <w:b/>
                <w:bCs/>
                <w:sz w:val="24"/>
              </w:rPr>
              <w:t>在工矿气体流速测量领域独家提出并实现了一种采用微差压元件、电磁阀组、中央处理单元一体化设计的零点自动校准模块</w:t>
            </w:r>
            <w:r>
              <w:rPr>
                <w:rFonts w:hint="eastAsia"/>
                <w:sz w:val="24"/>
              </w:rPr>
              <w:t>，该模块与控制电路塑封于一电磁屏蔽壳体内。通过控制命令智能切换微差压元件压力采样管路，达到微差压元件零点的自动校准，提高了风速测量技术自动化水平。</w:t>
            </w:r>
          </w:p>
          <w:p>
            <w:pPr>
              <w:adjustRightInd w:val="0"/>
              <w:spacing w:line="360" w:lineRule="auto"/>
              <w:ind w:firstLine="480" w:firstLineChars="200"/>
              <w:rPr>
                <w:sz w:val="24"/>
              </w:rPr>
            </w:pPr>
            <w:r>
              <w:rPr>
                <w:rFonts w:hint="eastAsia"/>
                <w:sz w:val="24"/>
              </w:rPr>
              <w:t>（2）</w:t>
            </w:r>
            <w:r>
              <w:rPr>
                <w:rFonts w:hint="eastAsia"/>
                <w:b/>
                <w:bCs/>
                <w:sz w:val="24"/>
              </w:rPr>
              <w:t>发明了一种缓冲腔并结合防堵导流槽的微差压取样探头</w:t>
            </w:r>
            <w:r>
              <w:rPr>
                <w:rFonts w:hint="eastAsia"/>
                <w:sz w:val="24"/>
              </w:rPr>
              <w:t>，导流槽能有效消除冷凝水由于表面张力形成的水膜导致的堵塞；缓冲腔能阻止粉尘进入微差压元件管路导致的堵塞。采用该发明技术的探头结构实现了</w:t>
            </w:r>
            <w:r>
              <w:rPr>
                <w:rFonts w:ascii="宋体" w:hAnsi="宋体" w:cs="宋体"/>
                <w:sz w:val="24"/>
              </w:rPr>
              <w:t>高粉尘</w:t>
            </w:r>
            <w:r>
              <w:rPr>
                <w:rFonts w:hint="eastAsia" w:ascii="宋体" w:hAnsi="宋体" w:cs="宋体"/>
                <w:sz w:val="24"/>
              </w:rPr>
              <w:t>、</w:t>
            </w:r>
            <w:r>
              <w:rPr>
                <w:rFonts w:ascii="宋体" w:hAnsi="宋体" w:cs="宋体"/>
                <w:sz w:val="24"/>
              </w:rPr>
              <w:t>高湿度</w:t>
            </w:r>
            <w:r>
              <w:rPr>
                <w:rFonts w:hint="eastAsia"/>
                <w:sz w:val="24"/>
              </w:rPr>
              <w:t>条件下高精度取压测量。</w:t>
            </w:r>
          </w:p>
          <w:p>
            <w:pPr>
              <w:adjustRightInd w:val="0"/>
              <w:spacing w:line="360" w:lineRule="auto"/>
              <w:ind w:firstLine="480" w:firstLineChars="200"/>
              <w:rPr>
                <w:sz w:val="24"/>
              </w:rPr>
            </w:pPr>
            <w:r>
              <w:rPr>
                <w:rFonts w:hint="eastAsia"/>
                <w:sz w:val="24"/>
              </w:rPr>
              <w:t>（3）</w:t>
            </w:r>
            <w:r>
              <w:rPr>
                <w:rFonts w:hint="eastAsia"/>
                <w:b/>
                <w:bCs/>
                <w:sz w:val="24"/>
              </w:rPr>
              <w:t>提出了一种通过中央处理单元实现基于时序及分支预判断的零点自动校准方法</w:t>
            </w:r>
            <w:r>
              <w:rPr>
                <w:rFonts w:hint="eastAsia"/>
                <w:sz w:val="24"/>
              </w:rPr>
              <w:t>，可有效消除微差压元件迟滞非线性特性。通过</w:t>
            </w:r>
            <w:r>
              <w:rPr>
                <w:sz w:val="24"/>
              </w:rPr>
              <w:t>中央处理单元接收微差压元件的差压信号和两位三通电磁阀的</w:t>
            </w:r>
            <w:r>
              <w:rPr>
                <w:rFonts w:hint="eastAsia"/>
                <w:sz w:val="24"/>
              </w:rPr>
              <w:t>状态，采用时序及分支预判断方法</w:t>
            </w:r>
            <w:r>
              <w:rPr>
                <w:sz w:val="24"/>
              </w:rPr>
              <w:t>控制两位三通电磁阀</w:t>
            </w:r>
            <w:r>
              <w:rPr>
                <w:rFonts w:hint="eastAsia"/>
                <w:sz w:val="24"/>
              </w:rPr>
              <w:t>导通动压和静压管路，</w:t>
            </w:r>
            <w:r>
              <w:rPr>
                <w:sz w:val="24"/>
              </w:rPr>
              <w:t>使微差压元件</w:t>
            </w:r>
            <w:r>
              <w:rPr>
                <w:rFonts w:hint="eastAsia"/>
                <w:sz w:val="24"/>
              </w:rPr>
              <w:t>取压口</w:t>
            </w:r>
            <w:r>
              <w:rPr>
                <w:sz w:val="24"/>
              </w:rPr>
              <w:t>处于同一压力环境中</w:t>
            </w:r>
            <w:r>
              <w:rPr>
                <w:rFonts w:hint="eastAsia"/>
                <w:sz w:val="24"/>
              </w:rPr>
              <w:t>，实现零点自动校准</w:t>
            </w:r>
            <w:r>
              <w:rPr>
                <w:sz w:val="24"/>
              </w:rPr>
              <w:t>，</w:t>
            </w:r>
            <w:r>
              <w:rPr>
                <w:rFonts w:hint="eastAsia"/>
                <w:sz w:val="24"/>
              </w:rPr>
              <w:t>解决了</w:t>
            </w:r>
            <w:r>
              <w:rPr>
                <w:sz w:val="24"/>
              </w:rPr>
              <w:t>零点漂移对</w:t>
            </w:r>
            <w:r>
              <w:rPr>
                <w:rFonts w:hint="eastAsia"/>
                <w:sz w:val="24"/>
              </w:rPr>
              <w:t>压力（差压）</w:t>
            </w:r>
            <w:r>
              <w:rPr>
                <w:sz w:val="24"/>
              </w:rPr>
              <w:t>测量的影响</w:t>
            </w:r>
            <w:r>
              <w:rPr>
                <w:rFonts w:hint="eastAsia"/>
                <w:sz w:val="24"/>
              </w:rPr>
              <w:t>，修正微差压元件线性特性。本发明可实现（</w:t>
            </w:r>
            <w:r>
              <w:rPr>
                <w:sz w:val="24"/>
              </w:rPr>
              <w:t>0～40</w:t>
            </w:r>
            <w:r>
              <w:rPr>
                <w:rFonts w:hint="eastAsia"/>
                <w:sz w:val="24"/>
              </w:rPr>
              <w:t>）</w:t>
            </w:r>
            <w:r>
              <w:rPr>
                <w:sz w:val="24"/>
              </w:rPr>
              <w:t>℃范围内零点变化量小于0.1Pa</w:t>
            </w:r>
            <w:r>
              <w:rPr>
                <w:rFonts w:hint="eastAsia"/>
                <w:sz w:val="24"/>
              </w:rPr>
              <w:t>，能保证0.</w:t>
            </w:r>
            <w:r>
              <w:rPr>
                <w:sz w:val="24"/>
              </w:rPr>
              <w:t>1P</w:t>
            </w:r>
            <w:r>
              <w:rPr>
                <w:rFonts w:hint="eastAsia"/>
                <w:sz w:val="24"/>
              </w:rPr>
              <w:t>a的稳定测量，使双向流速测量达到±0</w:t>
            </w:r>
            <w:r>
              <w:rPr>
                <w:sz w:val="24"/>
              </w:rPr>
              <w:t>.1</w:t>
            </w:r>
            <w:r>
              <w:rPr>
                <w:rFonts w:hint="eastAsia"/>
                <w:sz w:val="24"/>
              </w:rPr>
              <w:t>m/s，解决了测量下限不够的问题</w:t>
            </w:r>
            <w:r>
              <w:rPr>
                <w:sz w:val="24"/>
              </w:rPr>
              <w:t>。</w:t>
            </w:r>
          </w:p>
          <w:p>
            <w:pPr>
              <w:spacing w:line="288" w:lineRule="auto"/>
              <w:ind w:firstLine="482" w:firstLineChars="200"/>
              <w:rPr>
                <w:rFonts w:eastAsia="黑体"/>
                <w:b/>
                <w:bCs/>
                <w:sz w:val="24"/>
              </w:rPr>
            </w:pPr>
            <w:r>
              <w:rPr>
                <w:rFonts w:eastAsia="黑体"/>
                <w:b/>
                <w:bCs/>
                <w:sz w:val="24"/>
              </w:rPr>
              <w:t>3.与申请日之前最接近的技术的对比</w:t>
            </w:r>
          </w:p>
          <w:p>
            <w:pPr>
              <w:spacing w:line="360" w:lineRule="auto"/>
              <w:ind w:firstLine="480" w:firstLineChars="200"/>
              <w:rPr>
                <w:rFonts w:eastAsiaTheme="minorEastAsia"/>
                <w:sz w:val="24"/>
              </w:rPr>
            </w:pPr>
            <w:r>
              <w:rPr>
                <w:rFonts w:eastAsiaTheme="minorEastAsia"/>
                <w:sz w:val="24"/>
              </w:rPr>
              <w:t>通过</w:t>
            </w:r>
            <w:r>
              <w:rPr>
                <w:rFonts w:eastAsiaTheme="minorEastAsia"/>
                <w:b/>
                <w:sz w:val="24"/>
              </w:rPr>
              <w:t>国内外主要官方专利、文献检索分析数据库</w:t>
            </w:r>
            <w:r>
              <w:rPr>
                <w:rFonts w:eastAsiaTheme="minorEastAsia"/>
                <w:sz w:val="24"/>
              </w:rPr>
              <w:t>（中国专利信息中心CNPAT,中国期刊网全文数据库WPI, 欧洲专利局专利文献数据EPODOC等）、国内外主要商业检索分析智慧芽</w:t>
            </w:r>
            <w:r>
              <w:rPr>
                <w:rFonts w:eastAsiaTheme="minorEastAsia"/>
                <w:b/>
                <w:sz w:val="24"/>
              </w:rPr>
              <w:t>数据库</w:t>
            </w:r>
            <w:r>
              <w:rPr>
                <w:rFonts w:eastAsiaTheme="minorEastAsia"/>
                <w:sz w:val="24"/>
              </w:rPr>
              <w:t>对申请日以前的公开文献进行检索，发现最接近本专利的对比文件4项。</w:t>
            </w:r>
          </w:p>
          <w:p>
            <w:pPr>
              <w:spacing w:line="360" w:lineRule="auto"/>
              <w:ind w:firstLine="482" w:firstLineChars="200"/>
              <w:rPr>
                <w:rFonts w:eastAsiaTheme="minorEastAsia"/>
                <w:sz w:val="24"/>
              </w:rPr>
            </w:pPr>
            <w:r>
              <w:rPr>
                <w:rFonts w:eastAsiaTheme="minorEastAsia"/>
                <w:b/>
                <w:sz w:val="24"/>
              </w:rPr>
              <w:t>1）南京华彭科技有限公司</w:t>
            </w:r>
            <w:r>
              <w:rPr>
                <w:rFonts w:eastAsiaTheme="minorEastAsia"/>
                <w:sz w:val="24"/>
              </w:rPr>
              <w:t>“</w:t>
            </w:r>
            <w:r>
              <w:rPr>
                <w:rFonts w:eastAsiaTheme="minorEastAsia"/>
                <w:b/>
                <w:sz w:val="24"/>
              </w:rPr>
              <w:t>CN201402160Y</w:t>
            </w:r>
            <w:r>
              <w:rPr>
                <w:rFonts w:eastAsiaTheme="minorEastAsia"/>
                <w:sz w:val="24"/>
              </w:rPr>
              <w:t xml:space="preserve"> 具有零点标定功能的皮托管流量计”申请日: 2009-04-28 公开(公告)日: 2010-02-10；</w:t>
            </w:r>
          </w:p>
          <w:p>
            <w:pPr>
              <w:spacing w:line="360" w:lineRule="auto"/>
              <w:ind w:firstLine="482" w:firstLineChars="200"/>
              <w:rPr>
                <w:rFonts w:eastAsiaTheme="minorEastAsia"/>
                <w:sz w:val="24"/>
              </w:rPr>
            </w:pPr>
            <w:r>
              <w:rPr>
                <w:rFonts w:eastAsiaTheme="minorEastAsia"/>
                <w:b/>
                <w:sz w:val="24"/>
              </w:rPr>
              <w:t>2）南昌市惠通电工厂</w:t>
            </w:r>
            <w:r>
              <w:rPr>
                <w:rFonts w:eastAsiaTheme="minorEastAsia"/>
                <w:sz w:val="24"/>
              </w:rPr>
              <w:t>“CN2108927U 差压式流速流量传感装置”申请日: 1991-12-29 公开(公告)日: 1992-07-01；</w:t>
            </w:r>
          </w:p>
          <w:p>
            <w:pPr>
              <w:spacing w:line="360" w:lineRule="auto"/>
              <w:ind w:firstLine="482" w:firstLineChars="200"/>
              <w:rPr>
                <w:rFonts w:eastAsiaTheme="minorEastAsia"/>
                <w:sz w:val="24"/>
              </w:rPr>
            </w:pPr>
            <w:r>
              <w:rPr>
                <w:rFonts w:eastAsiaTheme="minorEastAsia"/>
                <w:b/>
                <w:sz w:val="24"/>
              </w:rPr>
              <w:t>3）梁永</w:t>
            </w:r>
            <w:r>
              <w:rPr>
                <w:rFonts w:eastAsiaTheme="minorEastAsia"/>
                <w:sz w:val="24"/>
              </w:rPr>
              <w:t>“CN2516944Y皮托管流速测量装置”申请日: 2001-12-25 公开(公告)日: 2002-10-16；</w:t>
            </w:r>
          </w:p>
          <w:p>
            <w:pPr>
              <w:spacing w:line="360" w:lineRule="auto"/>
              <w:ind w:firstLine="482" w:firstLineChars="200"/>
              <w:rPr>
                <w:rFonts w:eastAsiaTheme="minorEastAsia"/>
                <w:sz w:val="24"/>
              </w:rPr>
            </w:pPr>
            <w:r>
              <w:rPr>
                <w:rFonts w:eastAsiaTheme="minorEastAsia"/>
                <w:b/>
                <w:sz w:val="24"/>
              </w:rPr>
              <w:t>4）TA海德罗尼克斯有限责任公司</w:t>
            </w:r>
            <w:r>
              <w:rPr>
                <w:rFonts w:eastAsiaTheme="minorEastAsia"/>
                <w:sz w:val="24"/>
              </w:rPr>
              <w:t>“CN102971613A用于压差传感器的具有自动零点校准和冲洗的阀门组件”申请日: 2011-05-27 公开(公告)日: 2013-03-13。</w:t>
            </w:r>
          </w:p>
          <w:p>
            <w:pPr>
              <w:spacing w:line="360" w:lineRule="auto"/>
              <w:ind w:firstLine="480" w:firstLineChars="200"/>
              <w:rPr>
                <w:rFonts w:eastAsiaTheme="minorEastAsia"/>
                <w:sz w:val="24"/>
              </w:rPr>
            </w:pPr>
            <w:r>
              <w:rPr>
                <w:rFonts w:eastAsiaTheme="minorEastAsia"/>
                <w:sz w:val="24"/>
              </w:rPr>
              <w:t>检索报告如下：</w:t>
            </w:r>
          </w:p>
          <w:p>
            <w:pPr>
              <w:spacing w:line="288" w:lineRule="auto"/>
              <w:ind w:firstLine="420" w:firstLineChars="200"/>
              <w:jc w:val="center"/>
              <w:rPr>
                <w:rFonts w:asciiTheme="minorEastAsia" w:hAnsiTheme="minorEastAsia" w:eastAsiaTheme="minorEastAsia"/>
                <w:sz w:val="24"/>
              </w:rPr>
            </w:pPr>
            <w:r>
              <w:drawing>
                <wp:inline distT="0" distB="0" distL="0" distR="0">
                  <wp:extent cx="4319905" cy="3682365"/>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320000" cy="3682638"/>
                          </a:xfrm>
                          <a:prstGeom prst="rect">
                            <a:avLst/>
                          </a:prstGeom>
                        </pic:spPr>
                      </pic:pic>
                    </a:graphicData>
                  </a:graphic>
                </wp:inline>
              </w:drawing>
            </w:r>
          </w:p>
          <w:p>
            <w:pPr>
              <w:spacing w:line="288" w:lineRule="auto"/>
              <w:ind w:firstLine="480" w:firstLineChars="200"/>
              <w:rPr>
                <w:rFonts w:eastAsiaTheme="minorEastAsia"/>
                <w:sz w:val="24"/>
              </w:rPr>
            </w:pPr>
            <w:r>
              <w:rPr>
                <w:rFonts w:eastAsiaTheme="minorEastAsia"/>
                <w:sz w:val="24"/>
              </w:rPr>
              <w:t>另外，找到类似技术5-10（表1）。</w:t>
            </w:r>
          </w:p>
          <w:p>
            <w:pPr>
              <w:spacing w:before="156" w:beforeLines="50"/>
              <w:jc w:val="center"/>
              <w:rPr>
                <w:rFonts w:asciiTheme="minorEastAsia" w:hAnsiTheme="minorEastAsia" w:eastAsiaTheme="minorEastAsia"/>
                <w:b/>
                <w:bCs/>
                <w:sz w:val="22"/>
                <w:szCs w:val="21"/>
              </w:rPr>
            </w:pPr>
            <w:r>
              <w:rPr>
                <w:rFonts w:hint="eastAsia" w:asciiTheme="minorEastAsia" w:hAnsiTheme="minorEastAsia" w:eastAsiaTheme="minorEastAsia"/>
                <w:b/>
                <w:bCs/>
                <w:sz w:val="22"/>
                <w:szCs w:val="21"/>
              </w:rPr>
              <w:t xml:space="preserve">表1 </w:t>
            </w:r>
            <w:r>
              <w:rPr>
                <w:rFonts w:asciiTheme="minorEastAsia" w:hAnsiTheme="minorEastAsia" w:eastAsiaTheme="minorEastAsia"/>
                <w:b/>
                <w:bCs/>
                <w:sz w:val="22"/>
                <w:szCs w:val="21"/>
              </w:rPr>
              <w:t>本发明</w:t>
            </w:r>
            <w:r>
              <w:rPr>
                <w:rFonts w:hint="eastAsia" w:asciiTheme="minorEastAsia" w:hAnsiTheme="minorEastAsia" w:eastAsiaTheme="minorEastAsia"/>
                <w:b/>
                <w:bCs/>
                <w:sz w:val="22"/>
                <w:szCs w:val="21"/>
              </w:rPr>
              <w:t>与申请日之前类似技术的</w:t>
            </w:r>
            <w:r>
              <w:rPr>
                <w:rFonts w:asciiTheme="minorEastAsia" w:hAnsiTheme="minorEastAsia" w:eastAsiaTheme="minorEastAsia"/>
                <w:b/>
                <w:bCs/>
                <w:sz w:val="22"/>
                <w:szCs w:val="21"/>
              </w:rPr>
              <w:t>对比</w:t>
            </w:r>
          </w:p>
          <w:tbl>
            <w:tblPr>
              <w:tblStyle w:val="8"/>
              <w:tblW w:w="8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7"/>
              <w:gridCol w:w="2578"/>
              <w:gridCol w:w="2268"/>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shd w:val="pct5" w:color="auto" w:fill="FFFFFF"/>
                  <w:vAlign w:val="center"/>
                </w:tcPr>
                <w:p>
                  <w:pPr>
                    <w:spacing w:line="320" w:lineRule="exact"/>
                    <w:jc w:val="center"/>
                    <w:rPr>
                      <w:rFonts w:eastAsiaTheme="minorEastAsia"/>
                      <w:szCs w:val="21"/>
                    </w:rPr>
                  </w:pPr>
                  <w:bookmarkStart w:id="1" w:name="_Hlk52962800"/>
                  <w:r>
                    <w:rPr>
                      <w:rFonts w:eastAsiaTheme="minorEastAsia"/>
                      <w:szCs w:val="21"/>
                    </w:rPr>
                    <w:t>对比文件</w:t>
                  </w:r>
                </w:p>
              </w:tc>
              <w:tc>
                <w:tcPr>
                  <w:tcW w:w="2578" w:type="dxa"/>
                  <w:shd w:val="pct5" w:color="auto" w:fill="FFFFFF"/>
                  <w:vAlign w:val="center"/>
                </w:tcPr>
                <w:p>
                  <w:pPr>
                    <w:spacing w:line="320" w:lineRule="exact"/>
                    <w:jc w:val="center"/>
                    <w:rPr>
                      <w:rFonts w:eastAsiaTheme="minorEastAsia"/>
                      <w:spacing w:val="-14"/>
                      <w:szCs w:val="21"/>
                    </w:rPr>
                  </w:pPr>
                  <w:r>
                    <w:rPr>
                      <w:rFonts w:eastAsiaTheme="minorEastAsia"/>
                      <w:spacing w:val="-14"/>
                      <w:szCs w:val="21"/>
                    </w:rPr>
                    <w:t>与本专利技术方案主要区别</w:t>
                  </w:r>
                </w:p>
              </w:tc>
              <w:tc>
                <w:tcPr>
                  <w:tcW w:w="2268" w:type="dxa"/>
                  <w:shd w:val="pct5" w:color="auto" w:fill="FFFFFF"/>
                  <w:vAlign w:val="center"/>
                </w:tcPr>
                <w:p>
                  <w:pPr>
                    <w:spacing w:line="320" w:lineRule="exact"/>
                    <w:jc w:val="center"/>
                    <w:rPr>
                      <w:rFonts w:eastAsiaTheme="minorEastAsia"/>
                      <w:spacing w:val="-14"/>
                      <w:szCs w:val="21"/>
                    </w:rPr>
                  </w:pPr>
                  <w:r>
                    <w:rPr>
                      <w:rFonts w:eastAsiaTheme="minorEastAsia"/>
                      <w:spacing w:val="-14"/>
                      <w:szCs w:val="21"/>
                    </w:rPr>
                    <w:t>解决技术问题的区别</w:t>
                  </w:r>
                </w:p>
              </w:tc>
              <w:tc>
                <w:tcPr>
                  <w:tcW w:w="2096" w:type="dxa"/>
                  <w:shd w:val="pct5" w:color="auto" w:fill="FFFFFF"/>
                  <w:vAlign w:val="center"/>
                </w:tcPr>
                <w:p>
                  <w:pPr>
                    <w:spacing w:line="320" w:lineRule="exact"/>
                    <w:jc w:val="center"/>
                    <w:rPr>
                      <w:rFonts w:eastAsiaTheme="minorEastAsia"/>
                      <w:szCs w:val="21"/>
                    </w:rPr>
                  </w:pPr>
                  <w:r>
                    <w:rPr>
                      <w:rFonts w:eastAsiaTheme="minorEastAsia"/>
                      <w:szCs w:val="21"/>
                    </w:rPr>
                    <w:t>本专利技术效果和优势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shd w:val="pct5" w:color="auto" w:fill="FFFFFF"/>
                  <w:vAlign w:val="center"/>
                </w:tcPr>
                <w:p>
                  <w:pPr>
                    <w:spacing w:line="320" w:lineRule="exact"/>
                    <w:jc w:val="center"/>
                    <w:rPr>
                      <w:rFonts w:eastAsiaTheme="minorEastAsia"/>
                      <w:spacing w:val="-6"/>
                    </w:rPr>
                  </w:pPr>
                  <w:r>
                    <w:rPr>
                      <w:rFonts w:eastAsiaTheme="minorEastAsia"/>
                      <w:spacing w:val="-6"/>
                    </w:rPr>
                    <w:t>5</w:t>
                  </w:r>
                </w:p>
              </w:tc>
              <w:tc>
                <w:tcPr>
                  <w:tcW w:w="1417" w:type="dxa"/>
                  <w:shd w:val="pct5" w:color="auto" w:fill="FFFFFF"/>
                  <w:vAlign w:val="center"/>
                </w:tcPr>
                <w:p>
                  <w:pPr>
                    <w:spacing w:line="320" w:lineRule="exact"/>
                    <w:jc w:val="center"/>
                    <w:rPr>
                      <w:rFonts w:eastAsiaTheme="minorEastAsia"/>
                      <w:spacing w:val="-6"/>
                    </w:rPr>
                  </w:pPr>
                  <w:r>
                    <w:rPr>
                      <w:rFonts w:eastAsiaTheme="minorEastAsia"/>
                      <w:spacing w:val="-6"/>
                    </w:rPr>
                    <w:t>CN100468061C</w:t>
                  </w:r>
                </w:p>
              </w:tc>
              <w:tc>
                <w:tcPr>
                  <w:tcW w:w="2578" w:type="dxa"/>
                  <w:shd w:val="pct5" w:color="auto" w:fill="FFFFFF"/>
                  <w:vAlign w:val="center"/>
                </w:tcPr>
                <w:p>
                  <w:pPr>
                    <w:spacing w:line="320" w:lineRule="exact"/>
                    <w:jc w:val="left"/>
                    <w:rPr>
                      <w:rFonts w:eastAsiaTheme="minorEastAsia"/>
                      <w:spacing w:val="-10"/>
                      <w:szCs w:val="21"/>
                    </w:rPr>
                  </w:pPr>
                  <w:r>
                    <w:rPr>
                      <w:rFonts w:eastAsiaTheme="minorEastAsia"/>
                      <w:spacing w:val="-10"/>
                      <w:szCs w:val="21"/>
                    </w:rPr>
                    <w:t>仅提出一种无堵塞一次风速测量装置</w:t>
                  </w:r>
                </w:p>
              </w:tc>
              <w:tc>
                <w:tcPr>
                  <w:tcW w:w="2268" w:type="dxa"/>
                  <w:vMerge w:val="restart"/>
                  <w:shd w:val="pct5" w:color="auto" w:fill="FFFFFF"/>
                </w:tcPr>
                <w:p>
                  <w:pPr>
                    <w:spacing w:line="320" w:lineRule="exact"/>
                    <w:ind w:firstLine="380" w:firstLineChars="200"/>
                    <w:rPr>
                      <w:rFonts w:eastAsiaTheme="minorEastAsia"/>
                      <w:spacing w:val="-10"/>
                      <w:szCs w:val="21"/>
                    </w:rPr>
                  </w:pPr>
                  <w:r>
                    <w:rPr>
                      <w:rFonts w:eastAsiaTheme="minorEastAsia"/>
                      <w:spacing w:val="-10"/>
                      <w:szCs w:val="21"/>
                    </w:rPr>
                    <w:t>相关专利文献重点解决单一技术问题，聚焦在取样管路“无堵塞、自清灰、便携式、管道送风量等”，对差压检测技术“自清零、自校正”等核心检测技术未涉及。</w:t>
                  </w:r>
                </w:p>
              </w:tc>
              <w:tc>
                <w:tcPr>
                  <w:tcW w:w="2096" w:type="dxa"/>
                  <w:vMerge w:val="restart"/>
                  <w:shd w:val="pct5" w:color="auto" w:fill="FFFFFF"/>
                </w:tcPr>
                <w:p>
                  <w:pPr>
                    <w:spacing w:line="320" w:lineRule="exact"/>
                    <w:ind w:firstLine="380" w:firstLineChars="200"/>
                    <w:rPr>
                      <w:rFonts w:eastAsiaTheme="minorEastAsia"/>
                      <w:spacing w:val="-10"/>
                      <w:szCs w:val="21"/>
                    </w:rPr>
                  </w:pPr>
                  <w:r>
                    <w:rPr>
                      <w:rFonts w:eastAsiaTheme="minorEastAsia"/>
                      <w:spacing w:val="-10"/>
                      <w:szCs w:val="21"/>
                    </w:rPr>
                    <w:t>本发明为差压式风（流）速检测技术提供核心技术手段，彻底解决</w:t>
                  </w:r>
                  <w:r>
                    <w:rPr>
                      <w:rFonts w:eastAsiaTheme="minorEastAsia"/>
                      <w:b/>
                      <w:spacing w:val="-10"/>
                      <w:szCs w:val="21"/>
                    </w:rPr>
                    <w:t>测量下限不够、测量误差大及自动化水平低</w:t>
                  </w:r>
                  <w:r>
                    <w:rPr>
                      <w:rFonts w:eastAsiaTheme="minorEastAsia"/>
                      <w:spacing w:val="-10"/>
                      <w:szCs w:val="21"/>
                    </w:rPr>
                    <w:t>的行业</w:t>
                  </w:r>
                  <w:r>
                    <w:rPr>
                      <w:rFonts w:eastAsiaTheme="minorEastAsia"/>
                      <w:b/>
                      <w:spacing w:val="-10"/>
                      <w:szCs w:val="21"/>
                    </w:rPr>
                    <w:t>技术痛点。</w:t>
                  </w:r>
                  <w:r>
                    <w:rPr>
                      <w:rFonts w:eastAsiaTheme="minorEastAsia"/>
                      <w:spacing w:val="-10"/>
                      <w:szCs w:val="21"/>
                    </w:rPr>
                    <w:t>通过微差压元件、电磁阀组、微控制器一体化模块设计，从本质上解决了微差压元件在工矿条件下，特别是由温度变化等引起的零点漂移造成的测量下限不够、精度误差大的问题。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shd w:val="pct5" w:color="auto" w:fill="FFFFFF"/>
                  <w:vAlign w:val="center"/>
                </w:tcPr>
                <w:p>
                  <w:pPr>
                    <w:spacing w:line="320" w:lineRule="exact"/>
                    <w:jc w:val="center"/>
                    <w:rPr>
                      <w:rFonts w:eastAsiaTheme="minorEastAsia"/>
                      <w:spacing w:val="-6"/>
                    </w:rPr>
                  </w:pPr>
                  <w:r>
                    <w:rPr>
                      <w:rFonts w:eastAsiaTheme="minorEastAsia"/>
                      <w:spacing w:val="-6"/>
                    </w:rPr>
                    <w:t>6</w:t>
                  </w:r>
                </w:p>
              </w:tc>
              <w:tc>
                <w:tcPr>
                  <w:tcW w:w="1417" w:type="dxa"/>
                  <w:shd w:val="pct5" w:color="auto" w:fill="FFFFFF"/>
                  <w:vAlign w:val="center"/>
                </w:tcPr>
                <w:p>
                  <w:pPr>
                    <w:spacing w:line="320" w:lineRule="exact"/>
                    <w:jc w:val="center"/>
                    <w:rPr>
                      <w:rFonts w:eastAsiaTheme="minorEastAsia"/>
                      <w:spacing w:val="-6"/>
                    </w:rPr>
                  </w:pPr>
                  <w:r>
                    <w:rPr>
                      <w:rFonts w:eastAsiaTheme="minorEastAsia"/>
                      <w:spacing w:val="-6"/>
                    </w:rPr>
                    <w:t>CN201672939U</w:t>
                  </w:r>
                </w:p>
              </w:tc>
              <w:tc>
                <w:tcPr>
                  <w:tcW w:w="2578" w:type="dxa"/>
                  <w:shd w:val="pct5" w:color="auto" w:fill="FFFFFF"/>
                  <w:vAlign w:val="center"/>
                </w:tcPr>
                <w:p>
                  <w:pPr>
                    <w:spacing w:line="320" w:lineRule="exact"/>
                    <w:jc w:val="left"/>
                    <w:rPr>
                      <w:rFonts w:eastAsiaTheme="minorEastAsia"/>
                      <w:spacing w:val="-10"/>
                      <w:szCs w:val="21"/>
                    </w:rPr>
                  </w:pPr>
                  <w:r>
                    <w:rPr>
                      <w:rFonts w:eastAsiaTheme="minorEastAsia"/>
                      <w:spacing w:val="-10"/>
                      <w:szCs w:val="21"/>
                    </w:rPr>
                    <w:t>提出自清灰全截面烟气流量测速装置</w:t>
                  </w:r>
                </w:p>
              </w:tc>
              <w:tc>
                <w:tcPr>
                  <w:tcW w:w="2268" w:type="dxa"/>
                  <w:vMerge w:val="continue"/>
                  <w:shd w:val="pct5" w:color="auto" w:fill="FFFFFF"/>
                </w:tcPr>
                <w:p>
                  <w:pPr>
                    <w:spacing w:line="320" w:lineRule="exact"/>
                    <w:rPr>
                      <w:rFonts w:eastAsiaTheme="minorEastAsia"/>
                      <w:spacing w:val="-10"/>
                    </w:rPr>
                  </w:pPr>
                </w:p>
              </w:tc>
              <w:tc>
                <w:tcPr>
                  <w:tcW w:w="2096" w:type="dxa"/>
                  <w:vMerge w:val="continue"/>
                  <w:shd w:val="pct5" w:color="auto" w:fill="FFFFFF"/>
                </w:tcPr>
                <w:p>
                  <w:pPr>
                    <w:spacing w:line="320" w:lineRule="exact"/>
                    <w:rPr>
                      <w:rFonts w:eastAsiaTheme="minorEastAsia"/>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shd w:val="pct5" w:color="auto" w:fill="FFFFFF"/>
                  <w:vAlign w:val="center"/>
                </w:tcPr>
                <w:p>
                  <w:pPr>
                    <w:spacing w:line="320" w:lineRule="exact"/>
                    <w:jc w:val="center"/>
                    <w:rPr>
                      <w:rFonts w:eastAsiaTheme="minorEastAsia"/>
                      <w:spacing w:val="-6"/>
                    </w:rPr>
                  </w:pPr>
                  <w:r>
                    <w:rPr>
                      <w:rFonts w:eastAsiaTheme="minorEastAsia"/>
                      <w:spacing w:val="-6"/>
                    </w:rPr>
                    <w:t>7</w:t>
                  </w:r>
                </w:p>
              </w:tc>
              <w:tc>
                <w:tcPr>
                  <w:tcW w:w="1417" w:type="dxa"/>
                  <w:shd w:val="pct5" w:color="auto" w:fill="FFFFFF"/>
                  <w:vAlign w:val="center"/>
                </w:tcPr>
                <w:p>
                  <w:pPr>
                    <w:spacing w:line="320" w:lineRule="exact"/>
                    <w:jc w:val="center"/>
                    <w:rPr>
                      <w:rFonts w:eastAsiaTheme="minorEastAsia"/>
                      <w:spacing w:val="-6"/>
                    </w:rPr>
                  </w:pPr>
                  <w:r>
                    <w:rPr>
                      <w:rFonts w:eastAsiaTheme="minorEastAsia"/>
                      <w:spacing w:val="-6"/>
                    </w:rPr>
                    <w:t>CN101650244B</w:t>
                  </w:r>
                </w:p>
              </w:tc>
              <w:tc>
                <w:tcPr>
                  <w:tcW w:w="2578" w:type="dxa"/>
                  <w:shd w:val="pct5" w:color="auto" w:fill="FFFFFF"/>
                  <w:vAlign w:val="center"/>
                </w:tcPr>
                <w:p>
                  <w:pPr>
                    <w:spacing w:line="320" w:lineRule="exact"/>
                    <w:jc w:val="left"/>
                    <w:rPr>
                      <w:rFonts w:eastAsiaTheme="minorEastAsia"/>
                      <w:spacing w:val="-10"/>
                      <w:szCs w:val="21"/>
                    </w:rPr>
                  </w:pPr>
                  <w:r>
                    <w:rPr>
                      <w:rFonts w:eastAsiaTheme="minorEastAsia"/>
                      <w:spacing w:val="-10"/>
                      <w:szCs w:val="21"/>
                    </w:rPr>
                    <w:t>便携式多路风压风速测试仪，提出一种多路模拟开关采集多路差压数据后计算风压风速测量</w:t>
                  </w:r>
                </w:p>
              </w:tc>
              <w:tc>
                <w:tcPr>
                  <w:tcW w:w="2268" w:type="dxa"/>
                  <w:vMerge w:val="continue"/>
                  <w:shd w:val="pct5" w:color="auto" w:fill="FFFFFF"/>
                  <w:vAlign w:val="center"/>
                </w:tcPr>
                <w:p>
                  <w:pPr>
                    <w:spacing w:line="320" w:lineRule="exact"/>
                    <w:jc w:val="left"/>
                    <w:rPr>
                      <w:rFonts w:eastAsiaTheme="minorEastAsia"/>
                      <w:szCs w:val="21"/>
                    </w:rPr>
                  </w:pPr>
                </w:p>
              </w:tc>
              <w:tc>
                <w:tcPr>
                  <w:tcW w:w="2096" w:type="dxa"/>
                  <w:vMerge w:val="continue"/>
                  <w:shd w:val="pct5" w:color="auto" w:fill="FFFFFF"/>
                  <w:vAlign w:val="center"/>
                </w:tcPr>
                <w:p>
                  <w:pPr>
                    <w:spacing w:line="320" w:lineRule="exact"/>
                    <w:jc w:val="lef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shd w:val="pct5" w:color="auto" w:fill="FFFFFF"/>
                  <w:vAlign w:val="center"/>
                </w:tcPr>
                <w:p>
                  <w:pPr>
                    <w:spacing w:line="320" w:lineRule="exact"/>
                    <w:jc w:val="center"/>
                    <w:rPr>
                      <w:rFonts w:eastAsiaTheme="minorEastAsia"/>
                      <w:spacing w:val="-6"/>
                    </w:rPr>
                  </w:pPr>
                  <w:r>
                    <w:rPr>
                      <w:rFonts w:eastAsiaTheme="minorEastAsia"/>
                      <w:spacing w:val="-6"/>
                    </w:rPr>
                    <w:t>8</w:t>
                  </w:r>
                </w:p>
              </w:tc>
              <w:tc>
                <w:tcPr>
                  <w:tcW w:w="1417" w:type="dxa"/>
                  <w:shd w:val="pct5" w:color="auto" w:fill="FFFFFF"/>
                  <w:vAlign w:val="center"/>
                </w:tcPr>
                <w:p>
                  <w:pPr>
                    <w:spacing w:line="320" w:lineRule="exact"/>
                    <w:jc w:val="center"/>
                    <w:rPr>
                      <w:rFonts w:eastAsiaTheme="minorEastAsia"/>
                      <w:spacing w:val="-6"/>
                    </w:rPr>
                  </w:pPr>
                  <w:r>
                    <w:rPr>
                      <w:rFonts w:eastAsiaTheme="minorEastAsia"/>
                      <w:spacing w:val="-6"/>
                    </w:rPr>
                    <w:t>CN102997967A</w:t>
                  </w:r>
                </w:p>
              </w:tc>
              <w:tc>
                <w:tcPr>
                  <w:tcW w:w="2578" w:type="dxa"/>
                  <w:shd w:val="pct5" w:color="auto" w:fill="FFFFFF"/>
                  <w:vAlign w:val="center"/>
                </w:tcPr>
                <w:p>
                  <w:pPr>
                    <w:spacing w:line="320" w:lineRule="exact"/>
                    <w:jc w:val="left"/>
                    <w:rPr>
                      <w:rFonts w:eastAsiaTheme="minorEastAsia"/>
                      <w:spacing w:val="-10"/>
                      <w:szCs w:val="21"/>
                    </w:rPr>
                  </w:pPr>
                  <w:r>
                    <w:rPr>
                      <w:rFonts w:eastAsiaTheme="minorEastAsia"/>
                      <w:spacing w:val="-10"/>
                      <w:szCs w:val="21"/>
                    </w:rPr>
                    <w:t>用于矩形截面管道送风流量实时测量装置及方法，采用多个V型锥体节流件取差压</w:t>
                  </w:r>
                </w:p>
              </w:tc>
              <w:tc>
                <w:tcPr>
                  <w:tcW w:w="2268" w:type="dxa"/>
                  <w:vMerge w:val="continue"/>
                  <w:shd w:val="pct5" w:color="auto" w:fill="FFFFFF"/>
                  <w:vAlign w:val="center"/>
                </w:tcPr>
                <w:p>
                  <w:pPr>
                    <w:spacing w:line="320" w:lineRule="exact"/>
                    <w:jc w:val="left"/>
                    <w:rPr>
                      <w:rFonts w:eastAsiaTheme="minorEastAsia"/>
                      <w:szCs w:val="21"/>
                    </w:rPr>
                  </w:pPr>
                </w:p>
              </w:tc>
              <w:tc>
                <w:tcPr>
                  <w:tcW w:w="2096" w:type="dxa"/>
                  <w:vMerge w:val="continue"/>
                  <w:shd w:val="pct5" w:color="auto" w:fill="FFFFFF"/>
                  <w:vAlign w:val="center"/>
                </w:tcPr>
                <w:p>
                  <w:pPr>
                    <w:spacing w:line="320" w:lineRule="exact"/>
                    <w:jc w:val="lef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shd w:val="pct5" w:color="auto" w:fill="FFFFFF"/>
                  <w:vAlign w:val="center"/>
                </w:tcPr>
                <w:p>
                  <w:pPr>
                    <w:spacing w:line="320" w:lineRule="exact"/>
                    <w:jc w:val="center"/>
                    <w:rPr>
                      <w:rFonts w:eastAsiaTheme="minorEastAsia"/>
                      <w:spacing w:val="-6"/>
                    </w:rPr>
                  </w:pPr>
                  <w:r>
                    <w:rPr>
                      <w:rFonts w:eastAsiaTheme="minorEastAsia"/>
                      <w:spacing w:val="-6"/>
                    </w:rPr>
                    <w:t>9</w:t>
                  </w:r>
                </w:p>
              </w:tc>
              <w:tc>
                <w:tcPr>
                  <w:tcW w:w="1417" w:type="dxa"/>
                  <w:shd w:val="pct5" w:color="auto" w:fill="FFFFFF"/>
                  <w:vAlign w:val="center"/>
                </w:tcPr>
                <w:p>
                  <w:pPr>
                    <w:spacing w:line="320" w:lineRule="exact"/>
                    <w:jc w:val="center"/>
                    <w:rPr>
                      <w:rFonts w:eastAsiaTheme="minorEastAsia"/>
                      <w:spacing w:val="-6"/>
                    </w:rPr>
                  </w:pPr>
                  <w:r>
                    <w:rPr>
                      <w:rFonts w:eastAsiaTheme="minorEastAsia"/>
                      <w:spacing w:val="-6"/>
                    </w:rPr>
                    <w:t>CN101038296A</w:t>
                  </w:r>
                </w:p>
              </w:tc>
              <w:tc>
                <w:tcPr>
                  <w:tcW w:w="2578" w:type="dxa"/>
                  <w:shd w:val="pct5" w:color="auto" w:fill="FFFFFF"/>
                  <w:vAlign w:val="center"/>
                </w:tcPr>
                <w:p>
                  <w:pPr>
                    <w:spacing w:line="320" w:lineRule="exact"/>
                    <w:jc w:val="left"/>
                    <w:rPr>
                      <w:rFonts w:eastAsiaTheme="minorEastAsia"/>
                      <w:spacing w:val="-10"/>
                      <w:szCs w:val="21"/>
                    </w:rPr>
                  </w:pPr>
                  <w:r>
                    <w:rPr>
                      <w:rFonts w:eastAsiaTheme="minorEastAsia"/>
                      <w:spacing w:val="-10"/>
                      <w:szCs w:val="21"/>
                    </w:rPr>
                    <w:t>仅提出无堵塞一次风速测量装置</w:t>
                  </w:r>
                </w:p>
              </w:tc>
              <w:tc>
                <w:tcPr>
                  <w:tcW w:w="2268" w:type="dxa"/>
                  <w:vMerge w:val="continue"/>
                  <w:shd w:val="pct5" w:color="auto" w:fill="FFFFFF"/>
                  <w:vAlign w:val="center"/>
                </w:tcPr>
                <w:p>
                  <w:pPr>
                    <w:spacing w:line="320" w:lineRule="exact"/>
                    <w:jc w:val="left"/>
                    <w:rPr>
                      <w:rFonts w:eastAsiaTheme="minorEastAsia"/>
                      <w:szCs w:val="21"/>
                    </w:rPr>
                  </w:pPr>
                </w:p>
              </w:tc>
              <w:tc>
                <w:tcPr>
                  <w:tcW w:w="2096" w:type="dxa"/>
                  <w:vMerge w:val="continue"/>
                  <w:shd w:val="pct5" w:color="auto" w:fill="FFFFFF"/>
                  <w:vAlign w:val="center"/>
                </w:tcPr>
                <w:p>
                  <w:pPr>
                    <w:spacing w:line="320" w:lineRule="exact"/>
                    <w:jc w:val="lef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trPr>
              <w:tc>
                <w:tcPr>
                  <w:tcW w:w="421" w:type="dxa"/>
                  <w:shd w:val="pct5" w:color="auto" w:fill="FFFFFF"/>
                  <w:vAlign w:val="center"/>
                </w:tcPr>
                <w:p>
                  <w:pPr>
                    <w:spacing w:line="320" w:lineRule="exact"/>
                    <w:jc w:val="center"/>
                    <w:rPr>
                      <w:rFonts w:eastAsiaTheme="minorEastAsia"/>
                      <w:spacing w:val="-6"/>
                    </w:rPr>
                  </w:pPr>
                  <w:r>
                    <w:rPr>
                      <w:rFonts w:eastAsiaTheme="minorEastAsia"/>
                      <w:spacing w:val="-6"/>
                    </w:rPr>
                    <w:t>10</w:t>
                  </w:r>
                </w:p>
              </w:tc>
              <w:tc>
                <w:tcPr>
                  <w:tcW w:w="1417" w:type="dxa"/>
                  <w:shd w:val="pct5" w:color="auto" w:fill="FFFFFF"/>
                  <w:vAlign w:val="center"/>
                </w:tcPr>
                <w:p>
                  <w:pPr>
                    <w:spacing w:line="320" w:lineRule="exact"/>
                    <w:jc w:val="center"/>
                    <w:rPr>
                      <w:rFonts w:eastAsiaTheme="minorEastAsia"/>
                      <w:spacing w:val="-6"/>
                    </w:rPr>
                  </w:pPr>
                  <w:r>
                    <w:rPr>
                      <w:rFonts w:eastAsiaTheme="minorEastAsia"/>
                      <w:spacing w:val="-6"/>
                    </w:rPr>
                    <w:t>CN202974350U</w:t>
                  </w:r>
                </w:p>
              </w:tc>
              <w:tc>
                <w:tcPr>
                  <w:tcW w:w="2578" w:type="dxa"/>
                  <w:shd w:val="pct5" w:color="auto" w:fill="FFFFFF"/>
                  <w:vAlign w:val="center"/>
                </w:tcPr>
                <w:p>
                  <w:pPr>
                    <w:spacing w:line="320" w:lineRule="exact"/>
                    <w:rPr>
                      <w:rFonts w:eastAsiaTheme="minorEastAsia"/>
                      <w:spacing w:val="-10"/>
                      <w:szCs w:val="21"/>
                    </w:rPr>
                  </w:pPr>
                  <w:r>
                    <w:rPr>
                      <w:rFonts w:eastAsiaTheme="minorEastAsia"/>
                      <w:spacing w:val="-10"/>
                      <w:szCs w:val="21"/>
                    </w:rPr>
                    <w:t>一种矩形截面管道送风流量实时检测装置，采用一种V型锥体节流件取差压</w:t>
                  </w:r>
                </w:p>
              </w:tc>
              <w:tc>
                <w:tcPr>
                  <w:tcW w:w="2268" w:type="dxa"/>
                  <w:vMerge w:val="continue"/>
                  <w:shd w:val="pct5" w:color="auto" w:fill="FFFFFF"/>
                  <w:vAlign w:val="center"/>
                </w:tcPr>
                <w:p>
                  <w:pPr>
                    <w:spacing w:line="320" w:lineRule="exact"/>
                    <w:jc w:val="left"/>
                    <w:rPr>
                      <w:rFonts w:eastAsiaTheme="minorEastAsia"/>
                      <w:szCs w:val="21"/>
                    </w:rPr>
                  </w:pPr>
                </w:p>
              </w:tc>
              <w:tc>
                <w:tcPr>
                  <w:tcW w:w="2096" w:type="dxa"/>
                  <w:vMerge w:val="continue"/>
                  <w:shd w:val="pct5" w:color="auto" w:fill="FFFFFF"/>
                  <w:vAlign w:val="center"/>
                </w:tcPr>
                <w:p>
                  <w:pPr>
                    <w:spacing w:line="320" w:lineRule="exact"/>
                    <w:jc w:val="left"/>
                    <w:rPr>
                      <w:rFonts w:eastAsiaTheme="minorEastAsia"/>
                      <w:szCs w:val="21"/>
                    </w:rPr>
                  </w:pPr>
                </w:p>
              </w:tc>
            </w:tr>
            <w:bookmarkEnd w:id="1"/>
          </w:tbl>
          <w:p>
            <w:pPr>
              <w:spacing w:line="360" w:lineRule="auto"/>
              <w:ind w:firstLine="361" w:firstLineChars="200"/>
              <w:rPr>
                <w:sz w:val="24"/>
              </w:rPr>
            </w:pPr>
            <w:r>
              <w:rPr>
                <w:rFonts w:hint="eastAsia" w:asciiTheme="minorEastAsia" w:hAnsiTheme="minorEastAsia" w:eastAsiaTheme="minorEastAsia"/>
                <w:b/>
                <w:sz w:val="18"/>
                <w:szCs w:val="20"/>
              </w:rPr>
              <w:t>注</w:t>
            </w:r>
            <w:r>
              <w:rPr>
                <w:rFonts w:asciiTheme="minorEastAsia" w:hAnsiTheme="minorEastAsia" w:eastAsiaTheme="minorEastAsia"/>
                <w:b/>
                <w:sz w:val="18"/>
                <w:szCs w:val="20"/>
              </w:rPr>
              <w:t>：</w:t>
            </w:r>
            <w:r>
              <w:rPr>
                <w:rFonts w:hint="eastAsia" w:asciiTheme="minorEastAsia" w:hAnsiTheme="minorEastAsia" w:eastAsiaTheme="minorEastAsia"/>
                <w:b/>
                <w:sz w:val="18"/>
                <w:szCs w:val="20"/>
              </w:rPr>
              <w:t>表中对比文件</w:t>
            </w:r>
            <w:r>
              <w:rPr>
                <w:rFonts w:asciiTheme="minorEastAsia" w:hAnsiTheme="minorEastAsia" w:eastAsiaTheme="minorEastAsia"/>
                <w:b/>
                <w:sz w:val="18"/>
                <w:szCs w:val="20"/>
              </w:rPr>
              <w:t>为</w:t>
            </w:r>
            <w:r>
              <w:rPr>
                <w:rFonts w:hint="eastAsia" w:asciiTheme="minorEastAsia" w:hAnsiTheme="minorEastAsia" w:eastAsiaTheme="minorEastAsia"/>
                <w:b/>
                <w:sz w:val="18"/>
                <w:szCs w:val="20"/>
              </w:rPr>
              <w:t>国别以及代码II给出的文献号</w:t>
            </w:r>
            <w:r>
              <w:rPr>
                <w:rFonts w:asciiTheme="minorEastAsia" w:hAnsiTheme="minorEastAsia" w:eastAsiaTheme="minorEastAsia"/>
                <w:b/>
                <w:sz w:val="18"/>
                <w:szCs w:val="20"/>
              </w:rPr>
              <w:t>。</w:t>
            </w:r>
          </w:p>
          <w:p>
            <w:pPr>
              <w:spacing w:line="360" w:lineRule="auto"/>
              <w:ind w:firstLine="480" w:firstLineChars="200"/>
              <w:rPr>
                <w:sz w:val="24"/>
              </w:rPr>
            </w:pPr>
            <w:r>
              <w:rPr>
                <w:rFonts w:hint="eastAsia" w:asciiTheme="minorEastAsia" w:hAnsiTheme="minorEastAsia" w:eastAsiaTheme="minorEastAsia"/>
                <w:sz w:val="24"/>
              </w:rPr>
              <w:t>本专利提出的方法完全</w:t>
            </w:r>
            <w:r>
              <w:rPr>
                <w:rFonts w:asciiTheme="minorEastAsia" w:hAnsiTheme="minorEastAsia" w:eastAsiaTheme="minorEastAsia"/>
                <w:sz w:val="24"/>
              </w:rPr>
              <w:t>覆盖</w:t>
            </w:r>
            <w:r>
              <w:rPr>
                <w:rFonts w:hint="eastAsia" w:asciiTheme="minorEastAsia" w:hAnsiTheme="minorEastAsia" w:eastAsiaTheme="minorEastAsia"/>
                <w:sz w:val="24"/>
              </w:rPr>
              <w:t>风速检测方法、取压件结构工艺设计、防尘防水技术、数据处理算法，具有原创性，</w:t>
            </w:r>
            <w:r>
              <w:rPr>
                <w:rFonts w:hint="eastAsia"/>
                <w:sz w:val="24"/>
              </w:rPr>
              <w:t>通过与最接近技术方案的对比，未对本专利的新颖性和创造性构成实质性影响。</w:t>
            </w:r>
          </w:p>
          <w:p>
            <w:pPr>
              <w:spacing w:line="360" w:lineRule="auto"/>
              <w:ind w:firstLine="482" w:firstLineChars="200"/>
              <w:rPr>
                <w:rFonts w:eastAsia="仿宋_GB2312"/>
                <w:sz w:val="24"/>
              </w:rPr>
            </w:pPr>
            <w:r>
              <w:rPr>
                <w:rFonts w:eastAsia="仿宋_GB2312"/>
                <w:b/>
                <w:sz w:val="24"/>
              </w:rPr>
              <w:t>（二）实用性</w:t>
            </w:r>
            <w:r>
              <w:rPr>
                <w:rFonts w:eastAsia="仿宋_GB2312"/>
                <w:sz w:val="24"/>
              </w:rPr>
              <w:t xml:space="preserve">： </w:t>
            </w:r>
          </w:p>
          <w:p>
            <w:pPr>
              <w:spacing w:line="300" w:lineRule="auto"/>
              <w:ind w:firstLine="482" w:firstLineChars="200"/>
              <w:rPr>
                <w:rFonts w:eastAsia="黑体"/>
                <w:b/>
                <w:sz w:val="24"/>
              </w:rPr>
            </w:pPr>
            <w:r>
              <w:rPr>
                <w:rFonts w:eastAsia="黑体"/>
                <w:b/>
                <w:sz w:val="24"/>
              </w:rPr>
              <w:t>1.本发明实施超过8年</w:t>
            </w:r>
          </w:p>
          <w:p>
            <w:pPr>
              <w:spacing w:before="62" w:beforeLines="20" w:line="360" w:lineRule="auto"/>
              <w:ind w:firstLine="480" w:firstLineChars="200"/>
              <w:rPr>
                <w:rFonts w:eastAsiaTheme="minorEastAsia"/>
                <w:sz w:val="24"/>
              </w:rPr>
            </w:pPr>
            <w:r>
              <w:rPr>
                <w:rFonts w:eastAsiaTheme="minorEastAsia"/>
                <w:sz w:val="24"/>
              </w:rPr>
              <w:t>2013年至今，基于专利成果研制了</w:t>
            </w:r>
            <w:r>
              <w:rPr>
                <w:rFonts w:ascii="宋体" w:hAnsi="宋体" w:cs="宋体"/>
                <w:b/>
                <w:bCs/>
                <w:sz w:val="24"/>
              </w:rPr>
              <w:t>GFY15(B)型矿用双向风速传感器、GFT999型矿用风筒风量传感器、GFY15(C)型矿用双向风速传感器、GD3型矿用瓦斯抽放多参数传感器、GD3(B)型矿用瓦斯抽放多参数传感器、GD3(C)型煤矿管道用多参数传感器、GD4矿用瓦斯抽放多参数传感器</w:t>
            </w:r>
            <w:r>
              <w:rPr>
                <w:rFonts w:eastAsiaTheme="minorEastAsia"/>
                <w:sz w:val="24"/>
              </w:rPr>
              <w:t>等系列传感器，已实施超过8年时间，突破了煤矿行业风（流）速测量范围的下限，低至0.1m/s；提高了测量精度，达到±0.1m/s；具有零点及线性自动校准功能，实现了传感器免维护。</w:t>
            </w:r>
            <w:r>
              <w:rPr>
                <w:rFonts w:eastAsiaTheme="minorEastAsia"/>
                <w:b/>
                <w:bCs/>
                <w:sz w:val="24"/>
              </w:rPr>
              <w:t>系列专利产品自投产以来，推广应用100余个重点煤炭集团，超过1200余座煤矿应用，专利实施日至2020年底已销售约40772台（套），合同额约2.45亿元，带动煤矿安全监控系统产值120亿元。</w:t>
            </w:r>
          </w:p>
          <w:p>
            <w:pPr>
              <w:spacing w:before="62" w:beforeLines="20" w:line="360" w:lineRule="auto"/>
              <w:ind w:firstLine="210" w:firstLineChars="100"/>
              <w:jc w:val="center"/>
              <w:rPr>
                <w:rFonts w:eastAsiaTheme="minorEastAsia"/>
                <w:sz w:val="24"/>
              </w:rPr>
            </w:pPr>
            <w:r>
              <w:drawing>
                <wp:inline distT="0" distB="0" distL="0" distR="0">
                  <wp:extent cx="917575" cy="20351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l="26583" t="17839" r="27464" b="13749"/>
                          <a:stretch>
                            <a:fillRect/>
                          </a:stretch>
                        </pic:blipFill>
                        <pic:spPr>
                          <a:xfrm>
                            <a:off x="0" y="0"/>
                            <a:ext cx="919444" cy="2039223"/>
                          </a:xfrm>
                          <a:prstGeom prst="rect">
                            <a:avLst/>
                          </a:prstGeom>
                          <a:noFill/>
                          <a:ln>
                            <a:noFill/>
                          </a:ln>
                        </pic:spPr>
                      </pic:pic>
                    </a:graphicData>
                  </a:graphic>
                </wp:inline>
              </w:drawing>
            </w:r>
            <w:r>
              <w:rPr>
                <w:rFonts w:hint="eastAsia" w:eastAsiaTheme="minorEastAsia"/>
                <w:sz w:val="24"/>
              </w:rPr>
              <w:t xml:space="preserve"> </w:t>
            </w:r>
            <w:r>
              <w:rPr>
                <w:rFonts w:eastAsiaTheme="minorEastAsia"/>
                <w:sz w:val="24"/>
              </w:rPr>
              <w:t xml:space="preserve">     </w:t>
            </w:r>
            <w:r>
              <w:drawing>
                <wp:inline distT="0" distB="0" distL="0" distR="0">
                  <wp:extent cx="1207135" cy="1998980"/>
                  <wp:effectExtent l="0" t="0" r="0"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8" cstate="print">
                            <a:extLst>
                              <a:ext uri="{28A0092B-C50C-407E-A947-70E740481C1C}">
                                <a14:useLocalDpi xmlns:a14="http://schemas.microsoft.com/office/drawing/2010/main" val="0"/>
                              </a:ext>
                            </a:extLst>
                          </a:blip>
                          <a:srcRect l="15175" t="4453" r="13778" b="7310"/>
                          <a:stretch>
                            <a:fillRect/>
                          </a:stretch>
                        </pic:blipFill>
                        <pic:spPr>
                          <a:xfrm>
                            <a:off x="0" y="0"/>
                            <a:ext cx="1224260" cy="2027402"/>
                          </a:xfrm>
                          <a:prstGeom prst="rect">
                            <a:avLst/>
                          </a:prstGeom>
                          <a:noFill/>
                          <a:ln>
                            <a:noFill/>
                          </a:ln>
                        </pic:spPr>
                      </pic:pic>
                    </a:graphicData>
                  </a:graphic>
                </wp:inline>
              </w:drawing>
            </w:r>
            <w:r>
              <w:rPr>
                <w:rFonts w:eastAsiaTheme="minorEastAsia"/>
                <w:sz w:val="24"/>
              </w:rPr>
              <w:t xml:space="preserve">     </w:t>
            </w:r>
            <w:r>
              <w:drawing>
                <wp:inline distT="0" distB="0" distL="0" distR="0">
                  <wp:extent cx="612140" cy="194564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6716" cy="2023447"/>
                          </a:xfrm>
                          <a:prstGeom prst="rect">
                            <a:avLst/>
                          </a:prstGeom>
                          <a:noFill/>
                          <a:ln>
                            <a:noFill/>
                          </a:ln>
                        </pic:spPr>
                      </pic:pic>
                    </a:graphicData>
                  </a:graphic>
                </wp:inline>
              </w:drawing>
            </w:r>
          </w:p>
          <w:p>
            <w:pPr>
              <w:adjustRightInd w:val="0"/>
              <w:spacing w:line="360" w:lineRule="auto"/>
              <w:jc w:val="center"/>
              <w:rPr>
                <w:rFonts w:ascii="黑体" w:hAnsi="黑体" w:eastAsia="黑体" w:cs="黑体"/>
                <w:szCs w:val="21"/>
              </w:rPr>
            </w:pPr>
            <w:r>
              <w:rPr>
                <w:rFonts w:hint="eastAsia" w:ascii="黑体" w:hAnsi="黑体" w:eastAsia="黑体" w:cs="黑体"/>
                <w:szCs w:val="21"/>
              </w:rPr>
              <w:t>图2 系列产品实物图</w:t>
            </w:r>
          </w:p>
          <w:p>
            <w:pPr>
              <w:spacing w:before="62" w:beforeLines="20" w:line="360" w:lineRule="auto"/>
              <w:ind w:firstLine="480" w:firstLineChars="200"/>
              <w:rPr>
                <w:rFonts w:ascii="黑体" w:hAnsi="黑体" w:eastAsia="黑体"/>
                <w:szCs w:val="21"/>
              </w:rPr>
            </w:pPr>
            <w:r>
              <w:rPr>
                <w:rFonts w:eastAsiaTheme="minorEastAsia"/>
                <w:sz w:val="24"/>
              </w:rPr>
              <w:t>现场应用表明，产品全面提升了风速和管道流量测量稳定性及可靠性，保障煤矿安全生产。产品具备的自动校准方法和防堵引压探头技术保障传感器测量的准确性、长期工作稳定性，解决了粉尘水汽造成的堵塞问题，实现</w:t>
            </w:r>
            <w:r>
              <w:rPr>
                <w:sz w:val="24"/>
              </w:rPr>
              <w:t>风（流）速</w:t>
            </w:r>
            <w:r>
              <w:rPr>
                <w:rFonts w:eastAsiaTheme="minorEastAsia"/>
                <w:sz w:val="24"/>
              </w:rPr>
              <w:t>检</w:t>
            </w:r>
            <w:r>
              <w:rPr>
                <w:rFonts w:hint="eastAsia" w:asciiTheme="minorEastAsia" w:hAnsiTheme="minorEastAsia" w:eastAsiaTheme="minorEastAsia"/>
                <w:sz w:val="24"/>
              </w:rPr>
              <w:t>测设备的免调校，极大降低煤矿工作人员井下危险场所维护、调校传感器工作强度。</w:t>
            </w:r>
          </w:p>
          <w:p>
            <w:pPr>
              <w:spacing w:before="62" w:beforeLines="20" w:line="300" w:lineRule="auto"/>
              <w:ind w:firstLine="482" w:firstLineChars="200"/>
              <w:rPr>
                <w:rFonts w:eastAsia="黑体"/>
                <w:b/>
                <w:sz w:val="24"/>
              </w:rPr>
            </w:pPr>
            <w:r>
              <w:rPr>
                <w:rFonts w:eastAsia="黑体"/>
                <w:b/>
                <w:sz w:val="24"/>
              </w:rPr>
              <w:t>2.被国家和行业标准采纳</w:t>
            </w:r>
          </w:p>
          <w:p>
            <w:pPr>
              <w:spacing w:line="360" w:lineRule="auto"/>
              <w:ind w:firstLine="480" w:firstLineChars="200"/>
              <w:rPr>
                <w:rFonts w:eastAsiaTheme="minorEastAsia"/>
                <w:sz w:val="24"/>
              </w:rPr>
            </w:pPr>
            <w:r>
              <w:rPr>
                <w:rFonts w:eastAsiaTheme="minorEastAsia"/>
                <w:sz w:val="24"/>
              </w:rPr>
              <w:t>基于专利成果研制的相关系统和产品，</w:t>
            </w:r>
            <w:r>
              <w:rPr>
                <w:rFonts w:eastAsiaTheme="minorEastAsia"/>
                <w:b/>
                <w:bCs/>
                <w:sz w:val="24"/>
              </w:rPr>
              <w:t>促进6项国家行业标准的发布</w:t>
            </w:r>
            <w:r>
              <w:rPr>
                <w:rFonts w:eastAsiaTheme="minorEastAsia"/>
                <w:sz w:val="24"/>
              </w:rPr>
              <w:t>。</w:t>
            </w:r>
          </w:p>
          <w:p>
            <w:pPr>
              <w:spacing w:line="360" w:lineRule="auto"/>
              <w:ind w:firstLine="480" w:firstLineChars="200"/>
              <w:rPr>
                <w:rFonts w:eastAsiaTheme="minorEastAsia"/>
                <w:sz w:val="24"/>
              </w:rPr>
            </w:pPr>
            <w:r>
              <w:rPr>
                <w:rFonts w:eastAsiaTheme="minorEastAsia"/>
                <w:sz w:val="24"/>
              </w:rPr>
              <w:t>1）《煤矿安全规程》2016年版，第一百三十六条规定需要测量的最低风速0.15m/s。</w:t>
            </w:r>
          </w:p>
          <w:p>
            <w:pPr>
              <w:spacing w:line="360" w:lineRule="auto"/>
              <w:jc w:val="center"/>
              <w:rPr>
                <w:rFonts w:eastAsiaTheme="minorEastAsia"/>
                <w:sz w:val="24"/>
              </w:rPr>
            </w:pPr>
            <w:r>
              <w:rPr>
                <w:rFonts w:eastAsiaTheme="minorEastAsia"/>
                <w:sz w:val="24"/>
              </w:rPr>
              <w:drawing>
                <wp:inline distT="0" distB="0" distL="0" distR="0">
                  <wp:extent cx="2206625" cy="3166745"/>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08273" cy="3168967"/>
                          </a:xfrm>
                          <a:prstGeom prst="rect">
                            <a:avLst/>
                          </a:prstGeom>
                          <a:noFill/>
                          <a:ln>
                            <a:noFill/>
                          </a:ln>
                        </pic:spPr>
                      </pic:pic>
                    </a:graphicData>
                  </a:graphic>
                </wp:inline>
              </w:drawing>
            </w:r>
            <w:r>
              <w:rPr>
                <w:rFonts w:hint="eastAsia" w:eastAsiaTheme="minorEastAsia"/>
                <w:sz w:val="24"/>
              </w:rPr>
              <w:t xml:space="preserve"> </w:t>
            </w:r>
            <w:r>
              <w:rPr>
                <w:rFonts w:eastAsiaTheme="minorEastAsia"/>
                <w:sz w:val="24"/>
              </w:rPr>
              <w:t xml:space="preserve">  </w:t>
            </w:r>
            <w:r>
              <w:drawing>
                <wp:inline distT="0" distB="0" distL="0" distR="0">
                  <wp:extent cx="2513330" cy="3006090"/>
                  <wp:effectExtent l="0" t="0" r="127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2525207" cy="3020721"/>
                          </a:xfrm>
                          <a:prstGeom prst="rect">
                            <a:avLst/>
                          </a:prstGeom>
                        </pic:spPr>
                      </pic:pic>
                    </a:graphicData>
                  </a:graphic>
                </wp:inline>
              </w:drawing>
            </w:r>
          </w:p>
          <w:p>
            <w:pPr>
              <w:spacing w:line="360" w:lineRule="auto"/>
              <w:ind w:firstLine="480" w:firstLineChars="200"/>
              <w:rPr>
                <w:rFonts w:eastAsiaTheme="minorEastAsia"/>
                <w:sz w:val="24"/>
              </w:rPr>
            </w:pPr>
            <w:r>
              <w:rPr>
                <w:rFonts w:hint="eastAsia" w:eastAsiaTheme="minorEastAsia"/>
                <w:sz w:val="24"/>
              </w:rPr>
              <w:t>2）AQ 1029-2019《煤矿安全监控系统及检测仪器使用管理规范》，第7</w:t>
            </w:r>
            <w:r>
              <w:rPr>
                <w:rFonts w:eastAsiaTheme="minorEastAsia"/>
                <w:sz w:val="24"/>
              </w:rPr>
              <w:t>.2</w:t>
            </w:r>
            <w:r>
              <w:rPr>
                <w:rFonts w:hint="eastAsia" w:eastAsiaTheme="minorEastAsia"/>
                <w:sz w:val="24"/>
              </w:rPr>
              <w:t>条规定“采区回风巷、一翼回风巷、总回风巷的测风站应设置风速传感器”；第7</w:t>
            </w:r>
            <w:r>
              <w:rPr>
                <w:rFonts w:eastAsiaTheme="minorEastAsia"/>
                <w:sz w:val="24"/>
              </w:rPr>
              <w:t>.4</w:t>
            </w:r>
            <w:r>
              <w:rPr>
                <w:rFonts w:hint="eastAsia" w:eastAsiaTheme="minorEastAsia"/>
                <w:sz w:val="24"/>
              </w:rPr>
              <w:t>条规定“突出煤层采煤工作面进风巷、掘进工作面进风的分风口应设置风向传感器”。</w:t>
            </w:r>
          </w:p>
          <w:p>
            <w:pPr>
              <w:spacing w:line="360" w:lineRule="auto"/>
              <w:ind w:firstLine="420" w:firstLineChars="200"/>
              <w:jc w:val="center"/>
              <w:rPr>
                <w:rFonts w:eastAsiaTheme="minorEastAsia"/>
                <w:sz w:val="24"/>
              </w:rPr>
            </w:pPr>
            <w:r>
              <w:drawing>
                <wp:inline distT="0" distB="0" distL="0" distR="0">
                  <wp:extent cx="2237105" cy="319659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2256580" cy="3224013"/>
                          </a:xfrm>
                          <a:prstGeom prst="rect">
                            <a:avLst/>
                          </a:prstGeom>
                        </pic:spPr>
                      </pic:pic>
                    </a:graphicData>
                  </a:graphic>
                </wp:inline>
              </w:drawing>
            </w:r>
            <w:r>
              <w:rPr>
                <w:rFonts w:hint="eastAsia" w:eastAsiaTheme="minorEastAsia"/>
                <w:sz w:val="24"/>
              </w:rPr>
              <w:t xml:space="preserve"> </w:t>
            </w:r>
            <w:r>
              <w:rPr>
                <w:rFonts w:eastAsiaTheme="minorEastAsia"/>
                <w:sz w:val="24"/>
              </w:rPr>
              <w:t xml:space="preserve">  </w:t>
            </w:r>
            <w:r>
              <w:drawing>
                <wp:inline distT="0" distB="0" distL="0" distR="0">
                  <wp:extent cx="2245360" cy="31946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stretch>
                            <a:fillRect/>
                          </a:stretch>
                        </pic:blipFill>
                        <pic:spPr>
                          <a:xfrm>
                            <a:off x="0" y="0"/>
                            <a:ext cx="2256271" cy="3209555"/>
                          </a:xfrm>
                          <a:prstGeom prst="rect">
                            <a:avLst/>
                          </a:prstGeom>
                        </pic:spPr>
                      </pic:pic>
                    </a:graphicData>
                  </a:graphic>
                </wp:inline>
              </w:drawing>
            </w:r>
          </w:p>
          <w:p>
            <w:pPr>
              <w:spacing w:line="360" w:lineRule="auto"/>
              <w:ind w:firstLine="480" w:firstLineChars="200"/>
              <w:rPr>
                <w:rFonts w:eastAsiaTheme="minorEastAsia"/>
                <w:sz w:val="24"/>
              </w:rPr>
            </w:pPr>
            <w:r>
              <w:rPr>
                <w:rFonts w:hint="eastAsia" w:eastAsiaTheme="minorEastAsia"/>
                <w:sz w:val="24"/>
              </w:rPr>
              <w:t>3）煤安监函[</w:t>
            </w:r>
            <w:r>
              <w:rPr>
                <w:rFonts w:eastAsiaTheme="minorEastAsia"/>
                <w:sz w:val="24"/>
              </w:rPr>
              <w:t>2016]5</w:t>
            </w:r>
            <w:r>
              <w:rPr>
                <w:rFonts w:hint="eastAsia" w:eastAsiaTheme="minorEastAsia"/>
                <w:sz w:val="24"/>
              </w:rPr>
              <w:t>号 国家煤矿安监局关于印发《煤矿安全监控系统升级改造技术方案》的通知，文件三.</w:t>
            </w:r>
            <w:r>
              <w:rPr>
                <w:rFonts w:eastAsiaTheme="minorEastAsia"/>
                <w:sz w:val="24"/>
              </w:rPr>
              <w:t>3</w:t>
            </w:r>
            <w:r>
              <w:rPr>
                <w:rFonts w:hint="eastAsia" w:eastAsiaTheme="minorEastAsia"/>
                <w:sz w:val="24"/>
              </w:rPr>
              <w:t>条介绍了“推广应用先进传感技术及装备”。</w:t>
            </w:r>
          </w:p>
          <w:p>
            <w:pPr>
              <w:spacing w:line="360" w:lineRule="auto"/>
              <w:ind w:firstLine="420" w:firstLineChars="200"/>
              <w:jc w:val="center"/>
              <w:rPr>
                <w:rFonts w:eastAsiaTheme="minorEastAsia"/>
                <w:sz w:val="24"/>
              </w:rPr>
            </w:pPr>
            <w:r>
              <w:drawing>
                <wp:inline distT="0" distB="0" distL="0" distR="0">
                  <wp:extent cx="1934210" cy="2747645"/>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1944639" cy="2762522"/>
                          </a:xfrm>
                          <a:prstGeom prst="rect">
                            <a:avLst/>
                          </a:prstGeom>
                        </pic:spPr>
                      </pic:pic>
                    </a:graphicData>
                  </a:graphic>
                </wp:inline>
              </w:drawing>
            </w:r>
            <w:r>
              <w:rPr>
                <w:rFonts w:hint="eastAsia" w:eastAsiaTheme="minorEastAsia"/>
                <w:sz w:val="24"/>
              </w:rPr>
              <w:t xml:space="preserve"> </w:t>
            </w:r>
            <w:r>
              <w:rPr>
                <w:rFonts w:eastAsiaTheme="minorEastAsia"/>
                <w:sz w:val="24"/>
              </w:rPr>
              <w:t xml:space="preserve">    </w:t>
            </w:r>
            <w:r>
              <w:drawing>
                <wp:inline distT="0" distB="0" distL="0" distR="0">
                  <wp:extent cx="1882140" cy="2701290"/>
                  <wp:effectExtent l="0" t="0" r="381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1897903" cy="2724002"/>
                          </a:xfrm>
                          <a:prstGeom prst="rect">
                            <a:avLst/>
                          </a:prstGeom>
                        </pic:spPr>
                      </pic:pic>
                    </a:graphicData>
                  </a:graphic>
                </wp:inline>
              </w:drawing>
            </w:r>
          </w:p>
          <w:p>
            <w:pPr>
              <w:spacing w:line="360" w:lineRule="auto"/>
              <w:ind w:firstLine="480" w:firstLineChars="200"/>
              <w:rPr>
                <w:rFonts w:eastAsiaTheme="minorEastAsia"/>
                <w:sz w:val="24"/>
              </w:rPr>
            </w:pPr>
            <w:r>
              <w:rPr>
                <w:rFonts w:hint="eastAsia" w:eastAsiaTheme="minorEastAsia"/>
                <w:sz w:val="24"/>
              </w:rPr>
              <w:t>4）AQ 6201-2019 《煤矿安全监控系统通用技术要求》，在第5</w:t>
            </w:r>
            <w:r>
              <w:rPr>
                <w:rFonts w:eastAsiaTheme="minorEastAsia"/>
                <w:sz w:val="24"/>
              </w:rPr>
              <w:t>.5.1.2</w:t>
            </w:r>
            <w:r>
              <w:rPr>
                <w:rFonts w:hint="eastAsia" w:eastAsiaTheme="minorEastAsia"/>
                <w:sz w:val="24"/>
              </w:rPr>
              <w:t>条规定“系统应具有馈电状态、风机开停、风筒状态、风门开关、风向、烟雾等开关量采集、显示及报警功能”。</w:t>
            </w:r>
          </w:p>
          <w:p>
            <w:pPr>
              <w:spacing w:line="360" w:lineRule="auto"/>
              <w:ind w:firstLine="480" w:firstLineChars="200"/>
              <w:rPr>
                <w:rFonts w:eastAsiaTheme="minorEastAsia"/>
                <w:sz w:val="24"/>
              </w:rPr>
            </w:pPr>
          </w:p>
          <w:p>
            <w:pPr>
              <w:spacing w:line="360" w:lineRule="auto"/>
              <w:ind w:firstLine="420" w:firstLineChars="200"/>
              <w:jc w:val="center"/>
              <w:rPr>
                <w:rFonts w:eastAsiaTheme="minorEastAsia"/>
                <w:sz w:val="24"/>
              </w:rPr>
            </w:pPr>
            <w:r>
              <w:drawing>
                <wp:inline distT="0" distB="0" distL="0" distR="0">
                  <wp:extent cx="1972945" cy="2814320"/>
                  <wp:effectExtent l="0" t="0" r="8255"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1979675" cy="2823697"/>
                          </a:xfrm>
                          <a:prstGeom prst="rect">
                            <a:avLst/>
                          </a:prstGeom>
                        </pic:spPr>
                      </pic:pic>
                    </a:graphicData>
                  </a:graphic>
                </wp:inline>
              </w:drawing>
            </w:r>
            <w:r>
              <w:rPr>
                <w:rFonts w:hint="eastAsia" w:eastAsiaTheme="minorEastAsia"/>
                <w:sz w:val="24"/>
              </w:rPr>
              <w:t xml:space="preserve"> </w:t>
            </w:r>
            <w:r>
              <w:rPr>
                <w:rFonts w:eastAsiaTheme="minorEastAsia"/>
                <w:sz w:val="24"/>
              </w:rPr>
              <w:t xml:space="preserve">       </w:t>
            </w:r>
            <w:r>
              <w:drawing>
                <wp:inline distT="0" distB="0" distL="0" distR="0">
                  <wp:extent cx="2016760" cy="28651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2032895" cy="2888125"/>
                          </a:xfrm>
                          <a:prstGeom prst="rect">
                            <a:avLst/>
                          </a:prstGeom>
                        </pic:spPr>
                      </pic:pic>
                    </a:graphicData>
                  </a:graphic>
                </wp:inline>
              </w:drawing>
            </w:r>
          </w:p>
          <w:p>
            <w:pPr>
              <w:spacing w:line="360" w:lineRule="auto"/>
              <w:ind w:firstLine="480" w:firstLineChars="200"/>
              <w:jc w:val="left"/>
              <w:rPr>
                <w:rFonts w:eastAsiaTheme="minorEastAsia"/>
                <w:sz w:val="24"/>
              </w:rPr>
            </w:pPr>
            <w:r>
              <w:rPr>
                <w:rFonts w:hint="eastAsia" w:eastAsiaTheme="minorEastAsia"/>
                <w:sz w:val="24"/>
              </w:rPr>
              <w:t>5）关于印发《关于加快煤矿智能化发展的指导意见》的通知，发改能源〔2020〕283号，文件对智能通风系统做了系统的阐述。</w:t>
            </w:r>
          </w:p>
          <w:p>
            <w:pPr>
              <w:spacing w:line="360" w:lineRule="auto"/>
              <w:ind w:firstLine="420" w:firstLineChars="200"/>
              <w:rPr>
                <w:rFonts w:eastAsiaTheme="minorEastAsia"/>
                <w:sz w:val="24"/>
              </w:rPr>
            </w:pPr>
            <w:r>
              <w:drawing>
                <wp:inline distT="0" distB="0" distL="0" distR="0">
                  <wp:extent cx="2599055" cy="226123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2612902" cy="2273746"/>
                          </a:xfrm>
                          <a:prstGeom prst="rect">
                            <a:avLst/>
                          </a:prstGeom>
                        </pic:spPr>
                      </pic:pic>
                    </a:graphicData>
                  </a:graphic>
                </wp:inline>
              </w:drawing>
            </w:r>
            <w:r>
              <w:t xml:space="preserve"> </w:t>
            </w:r>
            <w:r>
              <w:drawing>
                <wp:inline distT="0" distB="0" distL="0" distR="0">
                  <wp:extent cx="2660015" cy="1935480"/>
                  <wp:effectExtent l="0" t="0" r="6985"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2672009" cy="1944240"/>
                          </a:xfrm>
                          <a:prstGeom prst="rect">
                            <a:avLst/>
                          </a:prstGeom>
                        </pic:spPr>
                      </pic:pic>
                    </a:graphicData>
                  </a:graphic>
                </wp:inline>
              </w:drawing>
            </w: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r>
              <w:rPr>
                <w:rFonts w:hint="eastAsia" w:eastAsiaTheme="minorEastAsia"/>
                <w:sz w:val="24"/>
              </w:rPr>
              <w:t>6）GBT 34069-2017 《物联网总体技术 智能传感器特性与分类》，第5</w:t>
            </w:r>
            <w:r>
              <w:rPr>
                <w:rFonts w:eastAsiaTheme="minorEastAsia"/>
                <w:sz w:val="24"/>
              </w:rPr>
              <w:t>.2.3</w:t>
            </w:r>
            <w:r>
              <w:rPr>
                <w:rFonts w:hint="eastAsia" w:eastAsiaTheme="minorEastAsia"/>
                <w:sz w:val="24"/>
              </w:rPr>
              <w:t>条规定：“自动校准-智能传感器可根据操作者输入的零值或某一标准量，调用自动校准软件对传感器进行调零和校准”。</w:t>
            </w:r>
          </w:p>
          <w:p>
            <w:pPr>
              <w:spacing w:line="360" w:lineRule="auto"/>
              <w:ind w:firstLine="420" w:firstLineChars="200"/>
              <w:jc w:val="center"/>
              <w:rPr>
                <w:rFonts w:eastAsiaTheme="minorEastAsia"/>
                <w:sz w:val="24"/>
              </w:rPr>
            </w:pPr>
            <w:r>
              <w:drawing>
                <wp:inline distT="0" distB="0" distL="0" distR="0">
                  <wp:extent cx="1715770" cy="243332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1724549" cy="2445969"/>
                          </a:xfrm>
                          <a:prstGeom prst="rect">
                            <a:avLst/>
                          </a:prstGeom>
                        </pic:spPr>
                      </pic:pic>
                    </a:graphicData>
                  </a:graphic>
                </wp:inline>
              </w:drawing>
            </w:r>
            <w:r>
              <w:rPr>
                <w:rFonts w:hint="eastAsia" w:eastAsiaTheme="minorEastAsia"/>
                <w:sz w:val="24"/>
              </w:rPr>
              <w:t xml:space="preserve"> </w:t>
            </w:r>
            <w:r>
              <w:rPr>
                <w:rFonts w:eastAsiaTheme="minorEastAsia"/>
                <w:sz w:val="24"/>
              </w:rPr>
              <w:t xml:space="preserve">       </w:t>
            </w:r>
            <w:r>
              <w:drawing>
                <wp:inline distT="0" distB="0" distL="0" distR="0">
                  <wp:extent cx="1600200" cy="21786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1603666" cy="2183391"/>
                          </a:xfrm>
                          <a:prstGeom prst="rect">
                            <a:avLst/>
                          </a:prstGeom>
                        </pic:spPr>
                      </pic:pic>
                    </a:graphicData>
                  </a:graphic>
                </wp:inline>
              </w:drawing>
            </w:r>
          </w:p>
          <w:p>
            <w:pPr>
              <w:spacing w:line="360" w:lineRule="auto"/>
              <w:ind w:firstLine="480" w:firstLineChars="200"/>
              <w:jc w:val="center"/>
              <w:rPr>
                <w:rFonts w:eastAsiaTheme="minorEastAsia"/>
                <w:sz w:val="24"/>
              </w:rPr>
            </w:pPr>
          </w:p>
          <w:p>
            <w:pPr>
              <w:spacing w:line="360" w:lineRule="auto"/>
              <w:ind w:firstLine="482" w:firstLineChars="200"/>
              <w:rPr>
                <w:rFonts w:ascii="仿宋_GB2312" w:eastAsia="仿宋_GB2312"/>
                <w:sz w:val="24"/>
                <w:highlight w:val="yellow"/>
              </w:rPr>
            </w:pPr>
            <w:r>
              <w:rPr>
                <w:rFonts w:hint="eastAsia" w:ascii="仿宋_GB2312" w:eastAsia="仿宋_GB2312"/>
                <w:b/>
                <w:sz w:val="24"/>
              </w:rPr>
              <w:t>（三）文本质量</w:t>
            </w:r>
            <w:r>
              <w:rPr>
                <w:rFonts w:hint="eastAsia" w:ascii="仿宋_GB2312" w:eastAsia="仿宋_GB2312"/>
                <w:sz w:val="24"/>
              </w:rPr>
              <w:t>：</w:t>
            </w:r>
          </w:p>
          <w:p>
            <w:pPr>
              <w:spacing w:line="360" w:lineRule="auto"/>
              <w:ind w:left="92" w:leftChars="44" w:firstLine="542" w:firstLineChars="225"/>
              <w:rPr>
                <w:rFonts w:eastAsia="仿宋_GB2312"/>
                <w:b/>
                <w:bCs/>
                <w:sz w:val="24"/>
              </w:rPr>
            </w:pPr>
            <w:r>
              <w:rPr>
                <w:rFonts w:eastAsia="仿宋_GB2312"/>
                <w:b/>
                <w:bCs/>
                <w:sz w:val="24"/>
              </w:rPr>
              <w:t>1.说明书已清楚、完整地公开发明的内容，并使所属技术领域的技术人员能够理解和实施。</w:t>
            </w:r>
          </w:p>
          <w:p>
            <w:pPr>
              <w:spacing w:line="360" w:lineRule="auto"/>
              <w:ind w:left="92" w:leftChars="44" w:firstLine="540" w:firstLineChars="225"/>
              <w:rPr>
                <w:rFonts w:ascii="仿宋_GB2312" w:eastAsia="仿宋_GB2312"/>
                <w:sz w:val="24"/>
              </w:rPr>
            </w:pPr>
            <w:r>
              <w:rPr>
                <w:rFonts w:asciiTheme="minorEastAsia" w:hAnsiTheme="minorEastAsia" w:eastAsiaTheme="minorEastAsia"/>
                <w:sz w:val="24"/>
              </w:rPr>
              <w:t>说明书已清楚、完整地公开发明的内容，专业术语使用正确，其内涵和外延表述恰当，并使所属技术领域的技术人员能够理解和实施。</w:t>
            </w:r>
            <w:r>
              <w:rPr>
                <w:rFonts w:hint="eastAsia" w:asciiTheme="minorEastAsia" w:hAnsiTheme="minorEastAsia" w:eastAsiaTheme="minorEastAsia"/>
                <w:sz w:val="24"/>
              </w:rPr>
              <w:t>该专利</w:t>
            </w:r>
            <w:r>
              <w:rPr>
                <w:rFonts w:asciiTheme="minorEastAsia" w:hAnsiTheme="minorEastAsia" w:eastAsiaTheme="minorEastAsia"/>
                <w:sz w:val="24"/>
              </w:rPr>
              <w:t>的组成部件、部件之间的作用关系、工作原理及计算方法等阐述清楚完整，表达方式符合专利法规要求。申请文件对该装置进行了足够的技术扩展，更全面的保护了发明人的智力活动成果。</w:t>
            </w:r>
          </w:p>
          <w:p>
            <w:pPr>
              <w:spacing w:line="360" w:lineRule="auto"/>
              <w:ind w:left="92" w:leftChars="44" w:firstLine="542" w:firstLineChars="225"/>
              <w:rPr>
                <w:rFonts w:ascii="仿宋_GB2312" w:eastAsia="仿宋_GB2312"/>
                <w:b/>
                <w:bCs/>
                <w:sz w:val="24"/>
              </w:rPr>
            </w:pPr>
            <w:r>
              <w:rPr>
                <w:rFonts w:hint="eastAsia" w:ascii="仿宋_GB2312" w:eastAsia="仿宋_GB2312"/>
                <w:b/>
                <w:bCs/>
                <w:sz w:val="24"/>
              </w:rPr>
              <w:t>2.权利要求书清楚、简要。</w:t>
            </w:r>
          </w:p>
          <w:p>
            <w:pPr>
              <w:spacing w:line="360" w:lineRule="auto"/>
              <w:ind w:left="92" w:leftChars="44" w:firstLine="540" w:firstLineChars="225"/>
              <w:rPr>
                <w:rFonts w:eastAsiaTheme="minorEastAsia"/>
                <w:sz w:val="24"/>
              </w:rPr>
            </w:pPr>
            <w:r>
              <w:rPr>
                <w:rFonts w:eastAsiaTheme="minorEastAsia"/>
                <w:sz w:val="24"/>
              </w:rPr>
              <w:t>权利要求书共8项权利要求。</w:t>
            </w:r>
          </w:p>
          <w:p>
            <w:pPr>
              <w:spacing w:line="360" w:lineRule="auto"/>
              <w:ind w:left="92" w:leftChars="44" w:firstLine="540" w:firstLineChars="225"/>
              <w:rPr>
                <w:rFonts w:eastAsiaTheme="minorEastAsia"/>
                <w:sz w:val="24"/>
              </w:rPr>
            </w:pPr>
            <w:r>
              <w:rPr>
                <w:rFonts w:eastAsiaTheme="minorEastAsia"/>
                <w:sz w:val="24"/>
              </w:rPr>
              <w:t>权利要求1要求保护一种双向风速、风向测量的检测装置，包括微差压取样探头、自动清零组件和微差压元件，权利要求主题名称清楚反映发明类型，且与其技术内容相适应；</w:t>
            </w:r>
          </w:p>
          <w:p>
            <w:pPr>
              <w:spacing w:line="360" w:lineRule="auto"/>
              <w:ind w:left="92" w:leftChars="44" w:firstLine="540" w:firstLineChars="225"/>
              <w:rPr>
                <w:rFonts w:eastAsiaTheme="minorEastAsia"/>
                <w:sz w:val="24"/>
              </w:rPr>
            </w:pPr>
            <w:r>
              <w:rPr>
                <w:rFonts w:eastAsiaTheme="minorEastAsia"/>
                <w:sz w:val="24"/>
              </w:rPr>
              <w:t>权利要求2进一步限定了检测装置的自动控制系统；</w:t>
            </w:r>
          </w:p>
          <w:p>
            <w:pPr>
              <w:spacing w:line="360" w:lineRule="auto"/>
              <w:ind w:left="92" w:leftChars="44" w:firstLine="540" w:firstLineChars="225"/>
              <w:rPr>
                <w:rFonts w:eastAsiaTheme="minorEastAsia"/>
                <w:sz w:val="24"/>
              </w:rPr>
            </w:pPr>
            <w:r>
              <w:rPr>
                <w:rFonts w:eastAsiaTheme="minorEastAsia"/>
                <w:sz w:val="24"/>
              </w:rPr>
              <w:t>权利要求3进一步限定了检测装置的微差压取样探头的引压管结构方式；</w:t>
            </w:r>
          </w:p>
          <w:p>
            <w:pPr>
              <w:spacing w:line="360" w:lineRule="auto"/>
              <w:ind w:left="92" w:leftChars="44" w:firstLine="540" w:firstLineChars="225"/>
              <w:rPr>
                <w:rFonts w:eastAsiaTheme="minorEastAsia"/>
                <w:sz w:val="24"/>
              </w:rPr>
            </w:pPr>
            <w:r>
              <w:rPr>
                <w:rFonts w:eastAsiaTheme="minorEastAsia"/>
                <w:sz w:val="24"/>
              </w:rPr>
              <w:t>权利要求4进一步限定了检测装置的自报警组成和方式；</w:t>
            </w:r>
          </w:p>
          <w:p>
            <w:pPr>
              <w:spacing w:line="360" w:lineRule="auto"/>
              <w:ind w:left="92" w:leftChars="44" w:firstLine="540" w:firstLineChars="225"/>
              <w:rPr>
                <w:rFonts w:eastAsiaTheme="minorEastAsia"/>
                <w:sz w:val="24"/>
              </w:rPr>
            </w:pPr>
            <w:r>
              <w:rPr>
                <w:rFonts w:eastAsiaTheme="minorEastAsia"/>
                <w:sz w:val="24"/>
              </w:rPr>
              <w:t>权利要求5进一步限定了引压管结构的三通连接结构方式；</w:t>
            </w:r>
          </w:p>
          <w:p>
            <w:pPr>
              <w:spacing w:line="360" w:lineRule="auto"/>
              <w:ind w:left="92" w:leftChars="44" w:firstLine="540" w:firstLineChars="225"/>
              <w:rPr>
                <w:rFonts w:eastAsiaTheme="minorEastAsia"/>
                <w:sz w:val="24"/>
              </w:rPr>
            </w:pPr>
            <w:r>
              <w:rPr>
                <w:rFonts w:eastAsiaTheme="minorEastAsia"/>
                <w:sz w:val="24"/>
              </w:rPr>
              <w:t>权利要求6进一步限定了检测装置的引压管固定连接方式；</w:t>
            </w:r>
          </w:p>
          <w:p>
            <w:pPr>
              <w:spacing w:line="360" w:lineRule="auto"/>
              <w:ind w:left="92" w:leftChars="44" w:firstLine="540" w:firstLineChars="225"/>
              <w:rPr>
                <w:rFonts w:eastAsiaTheme="minorEastAsia"/>
                <w:sz w:val="24"/>
              </w:rPr>
            </w:pPr>
            <w:r>
              <w:rPr>
                <w:rFonts w:eastAsiaTheme="minorEastAsia"/>
                <w:sz w:val="24"/>
              </w:rPr>
              <w:t>权利要求7进一步限定了检测装置的取样缓冲腔结构方式；</w:t>
            </w:r>
          </w:p>
          <w:p>
            <w:pPr>
              <w:spacing w:line="360" w:lineRule="auto"/>
              <w:ind w:left="92" w:leftChars="44" w:firstLine="540" w:firstLineChars="225"/>
              <w:rPr>
                <w:rFonts w:eastAsiaTheme="minorEastAsia"/>
                <w:sz w:val="24"/>
              </w:rPr>
            </w:pPr>
            <w:r>
              <w:rPr>
                <w:rFonts w:eastAsiaTheme="minorEastAsia"/>
                <w:sz w:val="24"/>
              </w:rPr>
              <w:t>权利要求8进一步限定了检测装置测量风速、风向的方法。</w:t>
            </w:r>
          </w:p>
          <w:p>
            <w:pPr>
              <w:spacing w:line="360" w:lineRule="auto"/>
              <w:ind w:left="92" w:leftChars="44" w:firstLine="540" w:firstLineChars="225"/>
              <w:rPr>
                <w:rFonts w:ascii="仿宋_GB2312" w:eastAsia="仿宋_GB2312"/>
                <w:sz w:val="24"/>
              </w:rPr>
            </w:pPr>
            <w:r>
              <w:rPr>
                <w:rFonts w:eastAsiaTheme="minorEastAsia"/>
                <w:sz w:val="24"/>
              </w:rPr>
              <w:t>由此可见，各项权利要求均清楚记载了发明的技术特征，包括构成发明的组成</w:t>
            </w:r>
            <w:r>
              <w:rPr>
                <w:rFonts w:hint="eastAsia" w:asciiTheme="minorEastAsia" w:hAnsiTheme="minorEastAsia" w:eastAsiaTheme="minorEastAsia"/>
                <w:sz w:val="24"/>
              </w:rPr>
              <w:t>要素，或组成要素之间的相互关系和相应操作，且语句清楚，技术术语含义确定。</w:t>
            </w:r>
          </w:p>
          <w:p>
            <w:pPr>
              <w:spacing w:line="360" w:lineRule="auto"/>
              <w:ind w:left="92" w:leftChars="44" w:firstLine="542" w:firstLineChars="225"/>
              <w:rPr>
                <w:rFonts w:eastAsia="仿宋_GB2312"/>
                <w:b/>
                <w:bCs/>
                <w:sz w:val="24"/>
              </w:rPr>
            </w:pPr>
            <w:r>
              <w:rPr>
                <w:rFonts w:eastAsia="仿宋_GB2312"/>
                <w:b/>
                <w:bCs/>
                <w:sz w:val="24"/>
              </w:rPr>
              <w:t>3.权利要求以说明书为依据，保护范围合理。</w:t>
            </w:r>
          </w:p>
          <w:p>
            <w:pPr>
              <w:spacing w:line="360" w:lineRule="auto"/>
              <w:ind w:left="92" w:leftChars="44" w:firstLine="540" w:firstLineChars="225"/>
              <w:rPr>
                <w:rFonts w:eastAsiaTheme="minorEastAsia"/>
                <w:sz w:val="24"/>
              </w:rPr>
            </w:pPr>
            <w:r>
              <w:rPr>
                <w:rFonts w:eastAsiaTheme="minorEastAsia"/>
                <w:sz w:val="24"/>
              </w:rPr>
              <w:t>权利要求1至8保护一种双向风速、风向测量的检测装置及检测方法，由说明书的1个实施例概括而成。实施例分别从双向风速、风向传感器的主要组件以及各组件的连接关系等方面，对权利要求的技术方案予以充分的实施和验证，本领域的技术人员能够从说明书中公开的内容得到或概括得出的技术方案。因此，参评专利权利要求可以得到说明书的支持。</w:t>
            </w:r>
          </w:p>
          <w:p>
            <w:pPr>
              <w:spacing w:line="360" w:lineRule="auto"/>
              <w:ind w:left="92" w:leftChars="44" w:firstLine="540" w:firstLineChars="225"/>
              <w:rPr>
                <w:rFonts w:eastAsia="仿宋_GB2312"/>
                <w:sz w:val="24"/>
              </w:rPr>
            </w:pPr>
            <w:r>
              <w:rPr>
                <w:rFonts w:eastAsiaTheme="minorEastAsia"/>
                <w:sz w:val="24"/>
              </w:rPr>
              <w:t>独立权利要求1及其从属权利要求2-8均涉及适合双向风速、风向测量的检测装置及检测方法，权利要求1的保护范围最大，从属权利要求2至8对独立权利要求进行了细化，进一步限定自动控制系统、引压管、自报警单元、取样缓冲腔的组成部件及各组成部件之间的相对位置关系、连接关系及设计参数，对相关产品提供更加精准的保护。参评专利权利要求呈现了一个层层递进、宽窄适宜的保护范围。</w:t>
            </w: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tc>
      </w:tr>
    </w:tbl>
    <w:p/>
    <w:p>
      <w:pPr>
        <w:widowControl/>
        <w:jc w:val="left"/>
      </w:pPr>
      <w:r>
        <w:br w:type="page"/>
      </w:r>
    </w:p>
    <w:p>
      <w:pPr>
        <w:spacing w:line="660" w:lineRule="exact"/>
        <w:jc w:val="center"/>
        <w:rPr>
          <w:rFonts w:eastAsia="方正小标宋简体"/>
          <w:b/>
          <w:sz w:val="44"/>
        </w:rPr>
      </w:pPr>
      <w:r>
        <w:rPr>
          <w:rFonts w:hint="eastAsia" w:eastAsia="方正小标宋简体"/>
          <w:b/>
          <w:sz w:val="44"/>
        </w:rPr>
        <w:t>三、技术先进性评价材料</w:t>
      </w:r>
    </w:p>
    <w:p>
      <w:pPr>
        <w:spacing w:line="660" w:lineRule="exact"/>
        <w:jc w:val="center"/>
        <w:rPr>
          <w:rFonts w:eastAsia="方正小标宋简体"/>
          <w:sz w:val="44"/>
        </w:rPr>
      </w:pPr>
    </w:p>
    <w:tbl>
      <w:tblPr>
        <w:tblStyle w:val="8"/>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3" w:hRule="atLeast"/>
          <w:jc w:val="center"/>
        </w:trPr>
        <w:tc>
          <w:tcPr>
            <w:tcW w:w="9068" w:type="dxa"/>
          </w:tcPr>
          <w:p>
            <w:pPr>
              <w:spacing w:line="360" w:lineRule="auto"/>
              <w:ind w:firstLine="482" w:firstLineChars="200"/>
              <w:rPr>
                <w:rFonts w:ascii="仿宋_GB2312" w:eastAsia="仿宋_GB2312"/>
                <w:color w:val="000000" w:themeColor="text1"/>
                <w:sz w:val="24"/>
                <w14:textFill>
                  <w14:solidFill>
                    <w14:schemeClr w14:val="tx1"/>
                  </w14:solidFill>
                </w14:textFill>
              </w:rPr>
            </w:pPr>
            <w:r>
              <w:rPr>
                <w:rFonts w:hint="eastAsia" w:ascii="仿宋_GB2312" w:eastAsia="仿宋_GB2312"/>
                <w:b/>
                <w:sz w:val="24"/>
              </w:rPr>
              <w:t>（一）技术原创性及重要性：</w:t>
            </w:r>
            <w:r>
              <w:rPr>
                <w:rFonts w:ascii="仿宋_GB2312" w:eastAsia="仿宋_GB2312"/>
                <w:color w:val="000000" w:themeColor="text1"/>
                <w:sz w:val="24"/>
                <w14:textFill>
                  <w14:solidFill>
                    <w14:schemeClr w14:val="tx1"/>
                  </w14:solidFill>
                </w14:textFill>
              </w:rPr>
              <w:t xml:space="preserve"> </w:t>
            </w:r>
          </w:p>
          <w:p>
            <w:pPr>
              <w:spacing w:line="360" w:lineRule="auto"/>
              <w:ind w:firstLine="482" w:firstLineChars="200"/>
              <w:rPr>
                <w:rFonts w:eastAsia="黑体"/>
                <w:b/>
                <w:sz w:val="24"/>
              </w:rPr>
            </w:pPr>
            <w:r>
              <w:rPr>
                <w:rFonts w:eastAsia="黑体"/>
                <w:b/>
                <w:sz w:val="24"/>
              </w:rPr>
              <w:t>1.技术重要性</w:t>
            </w:r>
          </w:p>
          <w:p>
            <w:pPr>
              <w:spacing w:line="360" w:lineRule="auto"/>
              <w:ind w:firstLine="482" w:firstLineChars="200"/>
              <w:rPr>
                <w:rFonts w:eastAsia="黑体"/>
                <w:b/>
                <w:sz w:val="24"/>
              </w:rPr>
            </w:pPr>
            <w:r>
              <w:rPr>
                <w:rFonts w:eastAsia="黑体"/>
                <w:b/>
                <w:sz w:val="24"/>
              </w:rPr>
              <w:t>A、开创了矿井通风监测水平新高度</w:t>
            </w:r>
          </w:p>
          <w:p>
            <w:pPr>
              <w:spacing w:line="360" w:lineRule="auto"/>
              <w:ind w:firstLine="480" w:firstLineChars="200"/>
              <w:rPr>
                <w:sz w:val="24"/>
              </w:rPr>
            </w:pPr>
            <w:r>
              <w:rPr>
                <w:sz w:val="24"/>
              </w:rPr>
              <w:t>通风系统是煤矿安全生产的基础，是矿井的“血液循环系统”，风速、风量监测为矿井通风系统分析决策提供基础参数。基于本专利技术研制的监测设备，提高了监测精度和可靠性，</w:t>
            </w:r>
            <w:r>
              <w:rPr>
                <w:b/>
                <w:bCs/>
                <w:sz w:val="24"/>
              </w:rPr>
              <w:t>提升了矿井通风监测的自动化和智能化水平</w:t>
            </w:r>
            <w:r>
              <w:rPr>
                <w:sz w:val="24"/>
              </w:rPr>
              <w:t>，开创了矿井通风监测新高度。</w:t>
            </w:r>
          </w:p>
          <w:p>
            <w:pPr>
              <w:spacing w:line="360" w:lineRule="auto"/>
              <w:ind w:firstLine="482" w:firstLineChars="200"/>
              <w:rPr>
                <w:rFonts w:eastAsia="黑体"/>
                <w:b/>
                <w:sz w:val="24"/>
              </w:rPr>
            </w:pPr>
            <w:r>
              <w:rPr>
                <w:rFonts w:eastAsia="黑体"/>
                <w:b/>
                <w:sz w:val="24"/>
              </w:rPr>
              <w:t>B、解决了高精度微差压元件“卡脖子”的技术问题</w:t>
            </w:r>
          </w:p>
          <w:p>
            <w:pPr>
              <w:spacing w:line="360" w:lineRule="auto"/>
              <w:ind w:firstLine="480" w:firstLineChars="200"/>
              <w:rPr>
                <w:rFonts w:eastAsiaTheme="minorEastAsia"/>
                <w:sz w:val="24"/>
              </w:rPr>
            </w:pPr>
            <w:r>
              <w:rPr>
                <w:rFonts w:eastAsiaTheme="minorEastAsia"/>
                <w:sz w:val="24"/>
              </w:rPr>
              <w:t>受制于工艺技术水平，高精度微差压元件主要从美国、德国等国外公司进口，将本专利技术应用在国产微差压元件中，性能达到进口元件同等技术水平，通过8年实践验证，</w:t>
            </w:r>
            <w:r>
              <w:rPr>
                <w:rFonts w:eastAsiaTheme="minorEastAsia"/>
                <w:b/>
                <w:bCs/>
                <w:sz w:val="24"/>
              </w:rPr>
              <w:t>解决了高精度微差压元件的“卡脖子”问题，实现国产化替代</w:t>
            </w:r>
            <w:r>
              <w:rPr>
                <w:rFonts w:eastAsiaTheme="minorEastAsia"/>
                <w:sz w:val="24"/>
              </w:rPr>
              <w:t xml:space="preserve">。 </w:t>
            </w:r>
          </w:p>
          <w:p>
            <w:pPr>
              <w:spacing w:line="300" w:lineRule="auto"/>
              <w:ind w:firstLine="482" w:firstLineChars="200"/>
              <w:rPr>
                <w:rFonts w:eastAsia="黑体"/>
                <w:b/>
                <w:sz w:val="24"/>
              </w:rPr>
            </w:pPr>
            <w:r>
              <w:rPr>
                <w:rFonts w:eastAsia="黑体"/>
                <w:b/>
                <w:sz w:val="24"/>
              </w:rPr>
              <w:t>C、引领了行业技术水平的发展</w:t>
            </w:r>
          </w:p>
          <w:p>
            <w:pPr>
              <w:spacing w:line="360" w:lineRule="auto"/>
              <w:ind w:firstLine="480" w:firstLineChars="200"/>
              <w:rPr>
                <w:rFonts w:eastAsiaTheme="minorEastAsia"/>
                <w:sz w:val="24"/>
              </w:rPr>
            </w:pPr>
            <w:r>
              <w:rPr>
                <w:rFonts w:eastAsiaTheme="minorEastAsia"/>
                <w:sz w:val="24"/>
              </w:rPr>
              <w:t>本专利技术引领了行业技术水平的发展，促进了《煤矿安全规程》2016年版、AQ 1029-2019《煤矿安全监控系统及检测仪器使用管理规范》、GBT 34069-2017 《物联网总体技术 智能传感器特性与分类》等</w:t>
            </w:r>
            <w:r>
              <w:rPr>
                <w:rFonts w:eastAsiaTheme="minorEastAsia"/>
                <w:b/>
                <w:bCs/>
                <w:sz w:val="24"/>
              </w:rPr>
              <w:t>6项国家、行业标准</w:t>
            </w:r>
            <w:r>
              <w:rPr>
                <w:rFonts w:eastAsiaTheme="minorEastAsia"/>
                <w:sz w:val="24"/>
              </w:rPr>
              <w:t>的发布。</w:t>
            </w:r>
          </w:p>
          <w:p>
            <w:pPr>
              <w:spacing w:before="156" w:beforeLines="50" w:line="300" w:lineRule="auto"/>
              <w:ind w:firstLine="482" w:firstLineChars="200"/>
              <w:rPr>
                <w:rFonts w:eastAsia="黑体"/>
                <w:b/>
                <w:sz w:val="24"/>
              </w:rPr>
            </w:pPr>
            <w:r>
              <w:rPr>
                <w:rFonts w:eastAsia="黑体"/>
                <w:b/>
                <w:sz w:val="24"/>
              </w:rPr>
              <w:t>2.技术原创性</w:t>
            </w:r>
          </w:p>
          <w:p>
            <w:pPr>
              <w:spacing w:before="156" w:beforeLines="50" w:line="300" w:lineRule="auto"/>
              <w:ind w:firstLine="480" w:firstLineChars="200"/>
              <w:rPr>
                <w:rFonts w:eastAsia="黑体"/>
                <w:b/>
                <w:sz w:val="24"/>
              </w:rPr>
            </w:pPr>
            <w:r>
              <w:rPr>
                <w:rFonts w:eastAsiaTheme="minorEastAsia"/>
                <w:sz w:val="24"/>
              </w:rPr>
              <w:t>本专利属于基础型专利。</w:t>
            </w:r>
          </w:p>
          <w:p>
            <w:pPr>
              <w:adjustRightInd w:val="0"/>
              <w:spacing w:line="360" w:lineRule="auto"/>
              <w:ind w:firstLine="482" w:firstLineChars="200"/>
              <w:rPr>
                <w:b/>
                <w:bCs/>
                <w:sz w:val="24"/>
              </w:rPr>
            </w:pPr>
            <w:r>
              <w:rPr>
                <w:b/>
                <w:bCs/>
                <w:sz w:val="24"/>
              </w:rPr>
              <w:t>A</w:t>
            </w:r>
            <w:r>
              <w:rPr>
                <w:rFonts w:eastAsia="黑体"/>
                <w:b/>
                <w:bCs/>
                <w:sz w:val="24"/>
              </w:rPr>
              <w:t>、</w:t>
            </w:r>
            <w:r>
              <w:rPr>
                <w:b/>
                <w:bCs/>
                <w:sz w:val="24"/>
              </w:rPr>
              <w:t>行业内独创微差压高精度检测的零点自动校准模块</w:t>
            </w:r>
          </w:p>
          <w:p>
            <w:pPr>
              <w:adjustRightInd w:val="0"/>
              <w:spacing w:line="360" w:lineRule="auto"/>
              <w:ind w:firstLine="480" w:firstLineChars="200"/>
              <w:rPr>
                <w:sz w:val="24"/>
              </w:rPr>
            </w:pPr>
            <w:r>
              <w:rPr>
                <w:sz w:val="24"/>
              </w:rPr>
              <w:t>通过MCU控制微动阀动作，智能切换微差压元件正压-负压口与取样探头动压-静压口的通断，实现微差压元件零点的自动校准。</w:t>
            </w:r>
          </w:p>
          <w:p>
            <w:pPr>
              <w:adjustRightInd w:val="0"/>
              <w:spacing w:line="360" w:lineRule="auto"/>
              <w:ind w:firstLine="482" w:firstLineChars="200"/>
              <w:rPr>
                <w:sz w:val="24"/>
              </w:rPr>
            </w:pPr>
            <w:r>
              <w:rPr>
                <w:rFonts w:eastAsia="黑体"/>
                <w:b/>
                <w:bCs/>
                <w:sz w:val="24"/>
              </w:rPr>
              <w:t>B、</w:t>
            </w:r>
            <w:r>
              <w:rPr>
                <w:b/>
                <w:bCs/>
                <w:sz w:val="24"/>
              </w:rPr>
              <w:t>发明了具有缓冲腔及导流槽的防堵取样探头</w:t>
            </w:r>
          </w:p>
          <w:p>
            <w:pPr>
              <w:adjustRightInd w:val="0"/>
              <w:spacing w:line="360" w:lineRule="auto"/>
              <w:ind w:firstLine="480" w:firstLineChars="200"/>
              <w:rPr>
                <w:sz w:val="24"/>
              </w:rPr>
            </w:pPr>
            <w:r>
              <w:rPr>
                <w:sz w:val="24"/>
              </w:rPr>
              <w:t>缓冲腔有效阻止粉尘进入微差压管路，同时导流槽消除冷凝水形成的水膜，提高探头在高粉尘高湿度环境下的适应性。</w:t>
            </w:r>
          </w:p>
          <w:p>
            <w:pPr>
              <w:adjustRightInd w:val="0"/>
              <w:spacing w:line="360" w:lineRule="auto"/>
              <w:ind w:firstLine="480" w:firstLineChars="200"/>
              <w:rPr>
                <w:sz w:val="24"/>
              </w:rPr>
            </w:pPr>
            <w:r>
              <w:rPr>
                <w:sz w:val="24"/>
              </w:rPr>
              <w:t>C</w:t>
            </w:r>
            <w:r>
              <w:rPr>
                <w:rFonts w:eastAsia="黑体"/>
                <w:b/>
                <w:bCs/>
                <w:sz w:val="24"/>
              </w:rPr>
              <w:t>、</w:t>
            </w:r>
            <w:r>
              <w:rPr>
                <w:b/>
                <w:bCs/>
                <w:sz w:val="24"/>
              </w:rPr>
              <w:t>提出了基于时序及分支预判断的精度自动校准方法</w:t>
            </w:r>
          </w:p>
          <w:p>
            <w:pPr>
              <w:adjustRightInd w:val="0"/>
              <w:spacing w:line="360" w:lineRule="auto"/>
              <w:ind w:firstLine="480" w:firstLineChars="200"/>
              <w:rPr>
                <w:sz w:val="24"/>
              </w:rPr>
            </w:pPr>
            <w:r>
              <w:rPr>
                <w:sz w:val="24"/>
              </w:rPr>
              <w:t>采用时序及分支预判断方法控制微差压元件正压-负压口压力相同，有效修正微差压元件迟滞非线性偏差，结合零点自动校准，修正微差压元件线性特性。</w:t>
            </w:r>
          </w:p>
          <w:p>
            <w:pPr>
              <w:spacing w:line="360" w:lineRule="auto"/>
              <w:ind w:firstLine="480" w:firstLineChars="200"/>
              <w:rPr>
                <w:rFonts w:eastAsiaTheme="minorEastAsia"/>
                <w:sz w:val="24"/>
              </w:rPr>
            </w:pPr>
            <w:r>
              <w:rPr>
                <w:rFonts w:eastAsiaTheme="minorEastAsia"/>
                <w:sz w:val="24"/>
              </w:rPr>
              <w:t>本专利解决了差压式风（流）速检测装备测量下限不够、检测精度不高、需要定期进行人工比对校正的共性难题，实现了风（流）速检测装备高精度测量，达到了免维护的应用要求，提高了自动化及智能化水平。</w:t>
            </w:r>
          </w:p>
          <w:p>
            <w:pPr>
              <w:spacing w:before="156" w:beforeLines="50" w:line="300" w:lineRule="auto"/>
              <w:ind w:firstLine="482" w:firstLineChars="200"/>
              <w:rPr>
                <w:rFonts w:eastAsia="黑体"/>
                <w:b/>
                <w:sz w:val="24"/>
              </w:rPr>
            </w:pPr>
            <w:r>
              <w:rPr>
                <w:rFonts w:eastAsia="黑体"/>
                <w:b/>
                <w:sz w:val="24"/>
              </w:rPr>
              <w:t>3.获奖情况</w:t>
            </w:r>
          </w:p>
          <w:p>
            <w:pPr>
              <w:spacing w:line="360" w:lineRule="auto"/>
              <w:ind w:firstLine="480" w:firstLineChars="200"/>
              <w:rPr>
                <w:rFonts w:eastAsiaTheme="minorEastAsia"/>
                <w:sz w:val="24"/>
              </w:rPr>
            </w:pPr>
            <w:r>
              <w:rPr>
                <w:rFonts w:eastAsiaTheme="minorEastAsia"/>
                <w:sz w:val="24"/>
              </w:rPr>
              <w:t>以本专利技术为核心的相关成果已获得</w:t>
            </w:r>
            <w:r>
              <w:rPr>
                <w:rFonts w:eastAsiaTheme="minorEastAsia"/>
                <w:kern w:val="0"/>
                <w:sz w:val="24"/>
              </w:rPr>
              <w:t>重庆市科技进步一等奖、中国煤炭工业协会科技进步一等奖及山西省科技进步一等奖等</w:t>
            </w:r>
            <w:r>
              <w:rPr>
                <w:rFonts w:eastAsiaTheme="minorEastAsia"/>
                <w:b/>
                <w:bCs/>
                <w:sz w:val="24"/>
              </w:rPr>
              <w:t>7项省部级奖项</w:t>
            </w:r>
            <w:r>
              <w:rPr>
                <w:rFonts w:eastAsiaTheme="minorEastAsia"/>
                <w:sz w:val="24"/>
              </w:rPr>
              <w:t>。</w:t>
            </w:r>
          </w:p>
          <w:p>
            <w:pPr>
              <w:spacing w:line="360" w:lineRule="auto"/>
              <w:jc w:val="center"/>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2312670" cy="16243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19434" cy="1629007"/>
                          </a:xfrm>
                          <a:prstGeom prst="rect">
                            <a:avLst/>
                          </a:prstGeom>
                          <a:noFill/>
                          <a:ln>
                            <a:noFill/>
                          </a:ln>
                        </pic:spPr>
                      </pic:pic>
                    </a:graphicData>
                  </a:graphic>
                </wp:inline>
              </w:drawing>
            </w:r>
            <w:r>
              <w:rPr>
                <w:rFonts w:hint="eastAsia" w:asciiTheme="minorEastAsia" w:hAnsiTheme="minorEastAsia" w:eastAsiaTheme="minorEastAsia"/>
                <w:sz w:val="24"/>
              </w:rPr>
              <w:t xml:space="preserve"> </w:t>
            </w:r>
            <w:r>
              <w:rPr>
                <w:rFonts w:asciiTheme="minorEastAsia" w:hAnsiTheme="minorEastAsia" w:eastAsiaTheme="minorEastAsia"/>
                <w:sz w:val="24"/>
              </w:rPr>
              <w:t xml:space="preserve">   </w:t>
            </w:r>
            <w:r>
              <w:rPr>
                <w:rFonts w:asciiTheme="minorEastAsia" w:hAnsiTheme="minorEastAsia" w:eastAsiaTheme="minorEastAsia"/>
                <w:sz w:val="24"/>
              </w:rPr>
              <w:drawing>
                <wp:inline distT="0" distB="0" distL="0" distR="0">
                  <wp:extent cx="2254885" cy="15951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66053" cy="1603574"/>
                          </a:xfrm>
                          <a:prstGeom prst="rect">
                            <a:avLst/>
                          </a:prstGeom>
                          <a:noFill/>
                          <a:ln>
                            <a:noFill/>
                          </a:ln>
                        </pic:spPr>
                      </pic:pic>
                    </a:graphicData>
                  </a:graphic>
                </wp:inline>
              </w:drawing>
            </w:r>
          </w:p>
          <w:p>
            <w:pPr>
              <w:spacing w:line="360" w:lineRule="auto"/>
              <w:jc w:val="center"/>
              <w:rPr>
                <w:rFonts w:asciiTheme="minorEastAsia" w:hAnsiTheme="minorEastAsia" w:eastAsiaTheme="minorEastAsia"/>
                <w:sz w:val="24"/>
              </w:rPr>
            </w:pPr>
          </w:p>
          <w:p>
            <w:pPr>
              <w:spacing w:line="360" w:lineRule="auto"/>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2552700" cy="180213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57409" cy="1805400"/>
                          </a:xfrm>
                          <a:prstGeom prst="rect">
                            <a:avLst/>
                          </a:prstGeom>
                          <a:noFill/>
                          <a:ln>
                            <a:noFill/>
                          </a:ln>
                        </pic:spPr>
                      </pic:pic>
                    </a:graphicData>
                  </a:graphic>
                </wp:inline>
              </w:drawing>
            </w:r>
            <w:r>
              <w:rPr>
                <w:rFonts w:asciiTheme="minorEastAsia" w:hAnsiTheme="minorEastAsia" w:eastAsiaTheme="minorEastAsia"/>
                <w:sz w:val="24"/>
              </w:rPr>
              <w:t xml:space="preserve"> </w:t>
            </w:r>
            <w:r>
              <w:rPr>
                <w:rFonts w:hint="eastAsia" w:asciiTheme="minorEastAsia" w:hAnsiTheme="minorEastAsia" w:eastAsiaTheme="minorEastAsia"/>
                <w:sz w:val="24"/>
              </w:rPr>
              <w:t xml:space="preserve"> </w:t>
            </w:r>
            <w:r>
              <w:rPr>
                <w:rFonts w:asciiTheme="minorEastAsia" w:hAnsiTheme="minorEastAsia" w:eastAsiaTheme="minorEastAsia"/>
                <w:sz w:val="24"/>
              </w:rPr>
              <w:t xml:space="preserve"> </w:t>
            </w:r>
            <w:r>
              <w:rPr>
                <w:rFonts w:asciiTheme="minorEastAsia" w:hAnsiTheme="minorEastAsia" w:eastAsiaTheme="minorEastAsia"/>
                <w:sz w:val="24"/>
              </w:rPr>
              <w:drawing>
                <wp:inline distT="0" distB="0" distL="0" distR="0">
                  <wp:extent cx="2610485" cy="180911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613567" cy="1811055"/>
                          </a:xfrm>
                          <a:prstGeom prst="rect">
                            <a:avLst/>
                          </a:prstGeom>
                          <a:noFill/>
                          <a:ln>
                            <a:noFill/>
                          </a:ln>
                        </pic:spPr>
                      </pic:pic>
                    </a:graphicData>
                  </a:graphic>
                </wp:inline>
              </w:drawing>
            </w:r>
          </w:p>
          <w:p>
            <w:pPr>
              <w:spacing w:line="360" w:lineRule="auto"/>
              <w:ind w:left="720" w:hanging="720" w:hangingChars="300"/>
              <w:jc w:val="center"/>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1460500" cy="2032000"/>
                  <wp:effectExtent l="0" t="0" r="635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67721" cy="2042601"/>
                          </a:xfrm>
                          <a:prstGeom prst="rect">
                            <a:avLst/>
                          </a:prstGeom>
                          <a:noFill/>
                          <a:ln>
                            <a:noFill/>
                          </a:ln>
                        </pic:spPr>
                      </pic:pic>
                    </a:graphicData>
                  </a:graphic>
                </wp:inline>
              </w:drawing>
            </w:r>
            <w:r>
              <w:rPr>
                <w:rFonts w:asciiTheme="minorEastAsia" w:hAnsiTheme="minorEastAsia" w:eastAsiaTheme="minorEastAsia"/>
                <w:sz w:val="24"/>
              </w:rPr>
              <w:t xml:space="preserve">   </w:t>
            </w:r>
            <w:r>
              <w:rPr>
                <w:sz w:val="24"/>
              </w:rPr>
              <w:drawing>
                <wp:inline distT="0" distB="0" distL="0" distR="0">
                  <wp:extent cx="1327150" cy="1986280"/>
                  <wp:effectExtent l="0" t="0" r="6350" b="0"/>
                  <wp:docPr id="23" name="图片 23" descr="E:\工作文件\李军备份\资料归档\2020\2020-00科研系统\2020年发明专利奖-一种具有自动线性校正功能的激光气体检测方法\2020-10-13一种具有自动线性校正功能的激光气体检测方法-申报书\证明材料\3 获奖证书\1-煤矿安全监控系统关键技术研究及应用-2017年度重庆市科技进步一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李军备份\资料归档\2020\2020-00科研系统\2020年发明专利奖-一种具有自动线性校正功能的激光气体检测方法\2020-10-13一种具有自动线性校正功能的激光气体检测方法-申报书\证明材料\3 获奖证书\1-煤矿安全监控系统关键技术研究及应用-2017年度重庆市科技进步一等奖.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39623" cy="2004783"/>
                          </a:xfrm>
                          <a:prstGeom prst="rect">
                            <a:avLst/>
                          </a:prstGeom>
                          <a:noFill/>
                          <a:ln>
                            <a:noFill/>
                          </a:ln>
                        </pic:spPr>
                      </pic:pic>
                    </a:graphicData>
                  </a:graphic>
                </wp:inline>
              </w:drawing>
            </w:r>
            <w:r>
              <w:rPr>
                <w:rFonts w:asciiTheme="minorEastAsia" w:hAnsiTheme="minorEastAsia" w:eastAsiaTheme="minorEastAsia"/>
                <w:sz w:val="24"/>
              </w:rPr>
              <w:drawing>
                <wp:inline distT="0" distB="0" distL="0" distR="0">
                  <wp:extent cx="2660015" cy="1836420"/>
                  <wp:effectExtent l="0" t="0" r="698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62936" cy="1838636"/>
                          </a:xfrm>
                          <a:prstGeom prst="rect">
                            <a:avLst/>
                          </a:prstGeom>
                          <a:noFill/>
                          <a:ln>
                            <a:noFill/>
                          </a:ln>
                        </pic:spPr>
                      </pic:pic>
                    </a:graphicData>
                  </a:graphic>
                </wp:inline>
              </w:drawing>
            </w:r>
            <w:r>
              <w:rPr>
                <w:rFonts w:hint="eastAsia" w:asciiTheme="minorEastAsia" w:hAnsiTheme="minorEastAsia" w:eastAsiaTheme="minorEastAsia"/>
                <w:sz w:val="24"/>
              </w:rPr>
              <w:t xml:space="preserve"> </w:t>
            </w:r>
          </w:p>
          <w:p>
            <w:pPr>
              <w:spacing w:line="360" w:lineRule="auto"/>
              <w:ind w:firstLine="482" w:firstLineChars="200"/>
              <w:rPr>
                <w:rFonts w:eastAsia="仿宋_GB2312"/>
                <w:color w:val="000000" w:themeColor="text1"/>
                <w:sz w:val="24"/>
                <w14:textFill>
                  <w14:solidFill>
                    <w14:schemeClr w14:val="tx1"/>
                  </w14:solidFill>
                </w14:textFill>
              </w:rPr>
            </w:pPr>
            <w:r>
              <w:rPr>
                <w:rFonts w:eastAsia="仿宋_GB2312"/>
                <w:b/>
                <w:sz w:val="24"/>
              </w:rPr>
              <w:t>（二）技术优势：</w:t>
            </w:r>
            <w:r>
              <w:rPr>
                <w:rFonts w:eastAsia="仿宋_GB2312"/>
                <w:color w:val="000000" w:themeColor="text1"/>
                <w:sz w:val="24"/>
                <w14:textFill>
                  <w14:solidFill>
                    <w14:schemeClr w14:val="tx1"/>
                  </w14:solidFill>
                </w14:textFill>
              </w:rPr>
              <w:t xml:space="preserve"> </w:t>
            </w:r>
          </w:p>
          <w:p>
            <w:pPr>
              <w:spacing w:line="360" w:lineRule="auto"/>
              <w:ind w:firstLine="480" w:firstLineChars="200"/>
              <w:rPr>
                <w:rFonts w:eastAsiaTheme="minorEastAsia"/>
                <w:sz w:val="24"/>
              </w:rPr>
            </w:pPr>
            <w:r>
              <w:rPr>
                <w:rFonts w:eastAsiaTheme="minorEastAsia"/>
                <w:sz w:val="24"/>
              </w:rPr>
              <w:t>通过对公开文献进行检索，主要发现接近本专利的对比文件1-18（表2），其中1-10是申请日以前的公开文献，11-18为在本发明之后提交申请的同类技术。</w:t>
            </w:r>
          </w:p>
          <w:p>
            <w:pPr>
              <w:snapToGrid w:val="0"/>
              <w:spacing w:before="62" w:beforeLines="20" w:line="360" w:lineRule="auto"/>
              <w:jc w:val="center"/>
              <w:rPr>
                <w:rFonts w:eastAsiaTheme="minorEastAsia"/>
                <w:b/>
                <w:sz w:val="24"/>
              </w:rPr>
            </w:pPr>
            <w:r>
              <w:rPr>
                <w:rFonts w:eastAsiaTheme="minorEastAsia"/>
                <w:b/>
                <w:bCs/>
                <w:sz w:val="22"/>
                <w:szCs w:val="21"/>
              </w:rPr>
              <w:t>表2 本发明与当前同类技术的对比</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3260"/>
              <w:gridCol w:w="4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shd w:val="pct5" w:color="F2F2F2" w:fill="F2F2F2"/>
                </w:tcPr>
                <w:p>
                  <w:pPr>
                    <w:jc w:val="center"/>
                    <w:rPr>
                      <w:rFonts w:eastAsiaTheme="minorEastAsia"/>
                      <w:sz w:val="24"/>
                    </w:rPr>
                  </w:pPr>
                </w:p>
              </w:tc>
              <w:tc>
                <w:tcPr>
                  <w:tcW w:w="3260" w:type="dxa"/>
                  <w:shd w:val="pct5" w:color="F2F2F2" w:fill="F2F2F2"/>
                </w:tcPr>
                <w:p>
                  <w:pPr>
                    <w:jc w:val="center"/>
                    <w:rPr>
                      <w:rFonts w:eastAsiaTheme="minorEastAsia"/>
                      <w:sz w:val="24"/>
                    </w:rPr>
                  </w:pPr>
                  <w:r>
                    <w:rPr>
                      <w:rFonts w:eastAsiaTheme="minorEastAsia"/>
                      <w:sz w:val="24"/>
                    </w:rPr>
                    <w:t>当前技术</w:t>
                  </w:r>
                </w:p>
              </w:tc>
              <w:tc>
                <w:tcPr>
                  <w:tcW w:w="4851" w:type="dxa"/>
                  <w:shd w:val="pct5" w:color="F2F2F2" w:fill="F2F2F2"/>
                </w:tcPr>
                <w:p>
                  <w:pPr>
                    <w:jc w:val="center"/>
                    <w:rPr>
                      <w:rFonts w:eastAsiaTheme="minorEastAsia"/>
                      <w:sz w:val="24"/>
                    </w:rPr>
                  </w:pPr>
                  <w:r>
                    <w:rPr>
                      <w:rFonts w:eastAsiaTheme="minorEastAsia"/>
                      <w:sz w:val="24"/>
                    </w:rPr>
                    <w:t>技术方案的不足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shd w:val="pct5" w:color="F2F2F2" w:fill="F2F2F2"/>
                  <w:vAlign w:val="center"/>
                </w:tcPr>
                <w:p>
                  <w:pPr>
                    <w:spacing w:line="260" w:lineRule="exact"/>
                    <w:jc w:val="center"/>
                    <w:rPr>
                      <w:rFonts w:eastAsiaTheme="minorEastAsia"/>
                      <w:spacing w:val="-12"/>
                      <w:szCs w:val="21"/>
                    </w:rPr>
                  </w:pPr>
                  <w:r>
                    <w:rPr>
                      <w:rFonts w:eastAsiaTheme="minorEastAsia"/>
                      <w:spacing w:val="-12"/>
                      <w:szCs w:val="21"/>
                    </w:rPr>
                    <w:t>1-10</w:t>
                  </w:r>
                </w:p>
              </w:tc>
              <w:tc>
                <w:tcPr>
                  <w:tcW w:w="3260" w:type="dxa"/>
                  <w:shd w:val="pct5" w:color="F2F2F2" w:fill="F2F2F2"/>
                  <w:vAlign w:val="center"/>
                </w:tcPr>
                <w:p>
                  <w:pPr>
                    <w:spacing w:line="260" w:lineRule="exact"/>
                    <w:jc w:val="left"/>
                    <w:rPr>
                      <w:rFonts w:eastAsiaTheme="minorEastAsia"/>
                      <w:spacing w:val="-12"/>
                      <w:szCs w:val="21"/>
                    </w:rPr>
                  </w:pPr>
                  <w:r>
                    <w:rPr>
                      <w:rFonts w:eastAsiaTheme="minorEastAsia"/>
                      <w:spacing w:val="-12"/>
                      <w:szCs w:val="21"/>
                    </w:rPr>
                    <w:t>相关专利文献重点解决单一技术问题，聚焦在取样管路“无堵塞、自清灰、便携式、管道送风量等”</w:t>
                  </w:r>
                </w:p>
              </w:tc>
              <w:tc>
                <w:tcPr>
                  <w:tcW w:w="4851" w:type="dxa"/>
                  <w:shd w:val="pct5" w:color="F2F2F2" w:fill="F2F2F2"/>
                  <w:vAlign w:val="center"/>
                </w:tcPr>
                <w:p>
                  <w:pPr>
                    <w:spacing w:line="260" w:lineRule="exact"/>
                    <w:jc w:val="left"/>
                    <w:rPr>
                      <w:rFonts w:eastAsiaTheme="minorEastAsia"/>
                      <w:spacing w:val="-12"/>
                      <w:szCs w:val="21"/>
                    </w:rPr>
                  </w:pPr>
                  <w:r>
                    <w:rPr>
                      <w:rFonts w:eastAsiaTheme="minorEastAsia"/>
                      <w:spacing w:val="-12"/>
                      <w:szCs w:val="21"/>
                    </w:rPr>
                    <w:t>单一技术问题解决，针对差压检测技术“自清零、自校正”等核心检测技术未涉及；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shd w:val="pct5" w:color="F2F2F2" w:fill="F2F2F2"/>
                  <w:vAlign w:val="center"/>
                </w:tcPr>
                <w:p>
                  <w:pPr>
                    <w:spacing w:line="260" w:lineRule="exact"/>
                    <w:jc w:val="center"/>
                    <w:rPr>
                      <w:rFonts w:eastAsiaTheme="minorEastAsia"/>
                      <w:spacing w:val="-12"/>
                      <w:szCs w:val="21"/>
                    </w:rPr>
                  </w:pPr>
                  <w:r>
                    <w:rPr>
                      <w:rFonts w:eastAsiaTheme="minorEastAsia"/>
                      <w:spacing w:val="-12"/>
                      <w:szCs w:val="21"/>
                    </w:rPr>
                    <w:t>11</w:t>
                  </w:r>
                </w:p>
              </w:tc>
              <w:tc>
                <w:tcPr>
                  <w:tcW w:w="3260" w:type="dxa"/>
                  <w:shd w:val="pct5" w:color="F2F2F2" w:fill="F2F2F2"/>
                  <w:vAlign w:val="center"/>
                </w:tcPr>
                <w:p>
                  <w:pPr>
                    <w:spacing w:line="260" w:lineRule="exact"/>
                    <w:jc w:val="left"/>
                    <w:rPr>
                      <w:rFonts w:eastAsiaTheme="minorEastAsia"/>
                      <w:spacing w:val="-12"/>
                      <w:szCs w:val="21"/>
                    </w:rPr>
                  </w:pPr>
                  <w:r>
                    <w:rPr>
                      <w:rFonts w:eastAsiaTheme="minorEastAsia"/>
                      <w:spacing w:val="-12"/>
                      <w:szCs w:val="21"/>
                    </w:rPr>
                    <w:t>CN212060311U低电耗清灰型皮托管风速检测设备</w:t>
                  </w:r>
                </w:p>
              </w:tc>
              <w:tc>
                <w:tcPr>
                  <w:tcW w:w="4851" w:type="dxa"/>
                  <w:shd w:val="pct5" w:color="F2F2F2" w:fill="F2F2F2"/>
                  <w:vAlign w:val="center"/>
                </w:tcPr>
                <w:p>
                  <w:pPr>
                    <w:spacing w:line="260" w:lineRule="exact"/>
                    <w:jc w:val="left"/>
                    <w:rPr>
                      <w:rFonts w:eastAsiaTheme="minorEastAsia"/>
                      <w:spacing w:val="-12"/>
                      <w:szCs w:val="21"/>
                    </w:rPr>
                  </w:pPr>
                  <w:r>
                    <w:rPr>
                      <w:rFonts w:eastAsiaTheme="minorEastAsia"/>
                      <w:spacing w:val="-12"/>
                      <w:szCs w:val="21"/>
                    </w:rPr>
                    <w:t>采用传统L型皮托管改进，重点实现低电耗和自动控制压缩气自动吹扫皮托管探头，不能实现双向流速测量；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shd w:val="pct5" w:color="F2F2F2" w:fill="F2F2F2"/>
                  <w:vAlign w:val="center"/>
                </w:tcPr>
                <w:p>
                  <w:pPr>
                    <w:spacing w:line="260" w:lineRule="exact"/>
                    <w:jc w:val="center"/>
                    <w:rPr>
                      <w:rFonts w:eastAsiaTheme="minorEastAsia"/>
                      <w:spacing w:val="-12"/>
                      <w:szCs w:val="21"/>
                    </w:rPr>
                  </w:pPr>
                  <w:r>
                    <w:rPr>
                      <w:rFonts w:eastAsiaTheme="minorEastAsia"/>
                      <w:spacing w:val="-12"/>
                      <w:szCs w:val="21"/>
                    </w:rPr>
                    <w:t>12</w:t>
                  </w:r>
                </w:p>
              </w:tc>
              <w:tc>
                <w:tcPr>
                  <w:tcW w:w="3260" w:type="dxa"/>
                  <w:shd w:val="pct5" w:color="F2F2F2" w:fill="F2F2F2"/>
                  <w:vAlign w:val="center"/>
                </w:tcPr>
                <w:p>
                  <w:pPr>
                    <w:spacing w:line="260" w:lineRule="exact"/>
                    <w:jc w:val="left"/>
                    <w:rPr>
                      <w:rFonts w:eastAsiaTheme="minorEastAsia"/>
                      <w:spacing w:val="-12"/>
                      <w:szCs w:val="21"/>
                    </w:rPr>
                  </w:pPr>
                  <w:r>
                    <w:rPr>
                      <w:rFonts w:eastAsiaTheme="minorEastAsia"/>
                      <w:spacing w:val="-12"/>
                      <w:szCs w:val="21"/>
                    </w:rPr>
                    <w:t>CN205879978U一种文丘里型风速差压测量装置</w:t>
                  </w:r>
                </w:p>
              </w:tc>
              <w:tc>
                <w:tcPr>
                  <w:tcW w:w="4851" w:type="dxa"/>
                  <w:shd w:val="pct5" w:color="F2F2F2" w:fill="F2F2F2"/>
                  <w:vAlign w:val="center"/>
                </w:tcPr>
                <w:p>
                  <w:pPr>
                    <w:spacing w:line="260" w:lineRule="exact"/>
                    <w:jc w:val="left"/>
                    <w:rPr>
                      <w:rFonts w:eastAsiaTheme="minorEastAsia"/>
                      <w:spacing w:val="-12"/>
                      <w:szCs w:val="21"/>
                    </w:rPr>
                  </w:pPr>
                  <w:r>
                    <w:rPr>
                      <w:rFonts w:eastAsiaTheme="minorEastAsia"/>
                      <w:spacing w:val="-12"/>
                      <w:szCs w:val="21"/>
                    </w:rPr>
                    <w:t>采用文丘里管解决了竖直管道堵管技术问题，水平管道不适用，也不能实现双向测量；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shd w:val="pct5" w:color="F2F2F2" w:fill="F2F2F2"/>
                  <w:vAlign w:val="center"/>
                </w:tcPr>
                <w:p>
                  <w:pPr>
                    <w:spacing w:line="260" w:lineRule="exact"/>
                    <w:jc w:val="center"/>
                    <w:rPr>
                      <w:rFonts w:eastAsiaTheme="minorEastAsia"/>
                      <w:spacing w:val="-12"/>
                      <w:szCs w:val="21"/>
                    </w:rPr>
                  </w:pPr>
                  <w:r>
                    <w:rPr>
                      <w:rFonts w:eastAsiaTheme="minorEastAsia"/>
                      <w:spacing w:val="-12"/>
                      <w:szCs w:val="21"/>
                    </w:rPr>
                    <w:t>13</w:t>
                  </w:r>
                </w:p>
              </w:tc>
              <w:tc>
                <w:tcPr>
                  <w:tcW w:w="3260" w:type="dxa"/>
                  <w:shd w:val="pct5" w:color="F2F2F2" w:fill="F2F2F2"/>
                  <w:vAlign w:val="center"/>
                </w:tcPr>
                <w:p>
                  <w:pPr>
                    <w:spacing w:line="260" w:lineRule="exact"/>
                    <w:jc w:val="left"/>
                    <w:rPr>
                      <w:rFonts w:eastAsiaTheme="minorEastAsia"/>
                      <w:spacing w:val="-12"/>
                      <w:szCs w:val="21"/>
                    </w:rPr>
                  </w:pPr>
                  <w:r>
                    <w:rPr>
                      <w:rFonts w:eastAsiaTheme="minorEastAsia"/>
                      <w:spacing w:val="-12"/>
                      <w:szCs w:val="21"/>
                    </w:rPr>
                    <w:t>CN104483507A矿用风速检测装置</w:t>
                  </w:r>
                </w:p>
              </w:tc>
              <w:tc>
                <w:tcPr>
                  <w:tcW w:w="4851" w:type="dxa"/>
                  <w:shd w:val="pct5" w:color="F2F2F2" w:fill="F2F2F2"/>
                  <w:vAlign w:val="center"/>
                </w:tcPr>
                <w:p>
                  <w:pPr>
                    <w:spacing w:line="260" w:lineRule="exact"/>
                    <w:jc w:val="left"/>
                    <w:rPr>
                      <w:rFonts w:eastAsiaTheme="minorEastAsia"/>
                      <w:spacing w:val="-12"/>
                      <w:szCs w:val="21"/>
                    </w:rPr>
                  </w:pPr>
                  <w:r>
                    <w:rPr>
                      <w:rFonts w:eastAsiaTheme="minorEastAsia"/>
                      <w:spacing w:val="-12"/>
                      <w:szCs w:val="21"/>
                    </w:rPr>
                    <w:t>设计一种长方体壳体内设一隔板，两侧全压腔、静压腔，增加了过滤膜去粉尘延长热式差压传感元件的使用寿命，技术受限不能实现免维护；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dxa"/>
                  <w:shd w:val="pct5" w:color="F2F2F2" w:fill="F2F2F2"/>
                  <w:vAlign w:val="center"/>
                </w:tcPr>
                <w:p>
                  <w:pPr>
                    <w:spacing w:line="260" w:lineRule="exact"/>
                    <w:jc w:val="center"/>
                    <w:rPr>
                      <w:rFonts w:eastAsiaTheme="minorEastAsia"/>
                      <w:spacing w:val="-12"/>
                      <w:szCs w:val="21"/>
                    </w:rPr>
                  </w:pPr>
                  <w:r>
                    <w:rPr>
                      <w:rFonts w:eastAsiaTheme="minorEastAsia"/>
                      <w:spacing w:val="-12"/>
                      <w:szCs w:val="21"/>
                    </w:rPr>
                    <w:t>14</w:t>
                  </w:r>
                </w:p>
              </w:tc>
              <w:tc>
                <w:tcPr>
                  <w:tcW w:w="3260" w:type="dxa"/>
                  <w:shd w:val="pct5" w:color="F2F2F2" w:fill="F2F2F2"/>
                  <w:vAlign w:val="center"/>
                </w:tcPr>
                <w:p>
                  <w:pPr>
                    <w:spacing w:line="260" w:lineRule="exact"/>
                    <w:jc w:val="left"/>
                    <w:rPr>
                      <w:rFonts w:eastAsiaTheme="minorEastAsia"/>
                      <w:spacing w:val="-12"/>
                      <w:szCs w:val="21"/>
                    </w:rPr>
                  </w:pPr>
                  <w:r>
                    <w:rPr>
                      <w:rFonts w:eastAsiaTheme="minorEastAsia"/>
                      <w:spacing w:val="-12"/>
                      <w:szCs w:val="21"/>
                    </w:rPr>
                    <w:t>CN205483098U矩阵式差压流量计</w:t>
                  </w:r>
                </w:p>
              </w:tc>
              <w:tc>
                <w:tcPr>
                  <w:tcW w:w="4851" w:type="dxa"/>
                  <w:shd w:val="pct5" w:color="F2F2F2" w:fill="F2F2F2"/>
                  <w:vAlign w:val="center"/>
                </w:tcPr>
                <w:p>
                  <w:pPr>
                    <w:spacing w:line="260" w:lineRule="exact"/>
                    <w:jc w:val="left"/>
                    <w:rPr>
                      <w:rFonts w:eastAsiaTheme="minorEastAsia"/>
                      <w:spacing w:val="-12"/>
                      <w:szCs w:val="21"/>
                    </w:rPr>
                  </w:pPr>
                  <w:r>
                    <w:rPr>
                      <w:rFonts w:eastAsiaTheme="minorEastAsia"/>
                      <w:spacing w:val="-12"/>
                      <w:szCs w:val="21"/>
                    </w:rPr>
                    <w:t>提供一种整体框架式的矩阵式差压流量计，适应用大管径，不能用于巷道风速测量，也不能实现双向测量；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shd w:val="pct5" w:color="F2F2F2" w:fill="F2F2F2"/>
                  <w:vAlign w:val="center"/>
                </w:tcPr>
                <w:p>
                  <w:pPr>
                    <w:spacing w:line="260" w:lineRule="exact"/>
                    <w:jc w:val="center"/>
                    <w:rPr>
                      <w:rFonts w:eastAsiaTheme="minorEastAsia"/>
                      <w:spacing w:val="-12"/>
                      <w:szCs w:val="21"/>
                    </w:rPr>
                  </w:pPr>
                  <w:r>
                    <w:rPr>
                      <w:rFonts w:eastAsiaTheme="minorEastAsia"/>
                      <w:spacing w:val="-12"/>
                      <w:szCs w:val="21"/>
                    </w:rPr>
                    <w:t>15</w:t>
                  </w:r>
                </w:p>
              </w:tc>
              <w:tc>
                <w:tcPr>
                  <w:tcW w:w="3260" w:type="dxa"/>
                  <w:shd w:val="pct5" w:color="F2F2F2" w:fill="F2F2F2"/>
                  <w:vAlign w:val="center"/>
                </w:tcPr>
                <w:p>
                  <w:pPr>
                    <w:spacing w:line="260" w:lineRule="exact"/>
                    <w:jc w:val="left"/>
                    <w:rPr>
                      <w:rFonts w:eastAsiaTheme="minorEastAsia"/>
                      <w:spacing w:val="-12"/>
                      <w:szCs w:val="21"/>
                    </w:rPr>
                  </w:pPr>
                  <w:r>
                    <w:rPr>
                      <w:rFonts w:eastAsiaTheme="minorEastAsia"/>
                      <w:spacing w:val="-12"/>
                      <w:szCs w:val="21"/>
                    </w:rPr>
                    <w:t>CN109709351A基于风压预测的临近空间实时原位风速风向传感器</w:t>
                  </w:r>
                </w:p>
              </w:tc>
              <w:tc>
                <w:tcPr>
                  <w:tcW w:w="4851" w:type="dxa"/>
                  <w:shd w:val="pct5" w:color="F2F2F2" w:fill="F2F2F2"/>
                  <w:vAlign w:val="center"/>
                </w:tcPr>
                <w:p>
                  <w:pPr>
                    <w:spacing w:line="260" w:lineRule="exact"/>
                    <w:jc w:val="left"/>
                    <w:rPr>
                      <w:rFonts w:eastAsiaTheme="minorEastAsia"/>
                      <w:spacing w:val="-12"/>
                      <w:szCs w:val="21"/>
                    </w:rPr>
                  </w:pPr>
                  <w:r>
                    <w:rPr>
                      <w:rFonts w:eastAsiaTheme="minorEastAsia"/>
                      <w:spacing w:val="-12"/>
                      <w:szCs w:val="21"/>
                    </w:rPr>
                    <w:t>提供一种基于风压预测的临近空间实时原位风速风向传感器，缓解现有技术中临近空间风速风向测量时受温度、高度影响大等技术问题。不能用于巷道风速测量，也不能实现双向测量；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shd w:val="pct5" w:color="F2F2F2" w:fill="F2F2F2"/>
                  <w:vAlign w:val="center"/>
                </w:tcPr>
                <w:p>
                  <w:pPr>
                    <w:spacing w:line="260" w:lineRule="exact"/>
                    <w:jc w:val="center"/>
                    <w:rPr>
                      <w:rFonts w:eastAsiaTheme="minorEastAsia"/>
                      <w:spacing w:val="-12"/>
                      <w:szCs w:val="21"/>
                    </w:rPr>
                  </w:pPr>
                  <w:r>
                    <w:rPr>
                      <w:rFonts w:eastAsiaTheme="minorEastAsia"/>
                      <w:spacing w:val="-12"/>
                      <w:szCs w:val="21"/>
                    </w:rPr>
                    <w:t>16</w:t>
                  </w:r>
                </w:p>
              </w:tc>
              <w:tc>
                <w:tcPr>
                  <w:tcW w:w="3260" w:type="dxa"/>
                  <w:shd w:val="pct5" w:color="F2F2F2" w:fill="F2F2F2"/>
                  <w:vAlign w:val="center"/>
                </w:tcPr>
                <w:p>
                  <w:pPr>
                    <w:spacing w:line="260" w:lineRule="exact"/>
                    <w:rPr>
                      <w:rFonts w:eastAsiaTheme="minorEastAsia"/>
                      <w:spacing w:val="-12"/>
                      <w:szCs w:val="21"/>
                    </w:rPr>
                  </w:pPr>
                  <w:r>
                    <w:rPr>
                      <w:rFonts w:eastAsiaTheme="minorEastAsia"/>
                      <w:spacing w:val="-12"/>
                      <w:szCs w:val="21"/>
                    </w:rPr>
                    <w:t>CN103543288A一种基于S型皮托管的风向风速测量装置及方法</w:t>
                  </w:r>
                </w:p>
              </w:tc>
              <w:tc>
                <w:tcPr>
                  <w:tcW w:w="4851" w:type="dxa"/>
                  <w:shd w:val="pct5" w:color="F2F2F2" w:fill="F2F2F2"/>
                  <w:vAlign w:val="center"/>
                </w:tcPr>
                <w:p>
                  <w:pPr>
                    <w:spacing w:line="260" w:lineRule="exact"/>
                    <w:rPr>
                      <w:rFonts w:eastAsiaTheme="minorEastAsia"/>
                      <w:spacing w:val="-12"/>
                      <w:szCs w:val="21"/>
                    </w:rPr>
                  </w:pPr>
                  <w:r>
                    <w:rPr>
                      <w:rFonts w:eastAsiaTheme="minorEastAsia"/>
                      <w:spacing w:val="-12"/>
                      <w:szCs w:val="21"/>
                    </w:rPr>
                    <w:t>标准S型皮托管应用，无创新性，未获得发明授权；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dxa"/>
                  <w:shd w:val="pct5" w:color="F2F2F2" w:fill="F2F2F2"/>
                  <w:vAlign w:val="center"/>
                </w:tcPr>
                <w:p>
                  <w:pPr>
                    <w:spacing w:line="260" w:lineRule="exact"/>
                    <w:jc w:val="center"/>
                    <w:rPr>
                      <w:rFonts w:eastAsiaTheme="minorEastAsia"/>
                      <w:spacing w:val="-12"/>
                      <w:szCs w:val="21"/>
                    </w:rPr>
                  </w:pPr>
                  <w:r>
                    <w:rPr>
                      <w:rFonts w:eastAsiaTheme="minorEastAsia"/>
                      <w:spacing w:val="-12"/>
                      <w:szCs w:val="21"/>
                    </w:rPr>
                    <w:t>17</w:t>
                  </w:r>
                </w:p>
              </w:tc>
              <w:tc>
                <w:tcPr>
                  <w:tcW w:w="3260" w:type="dxa"/>
                  <w:shd w:val="pct5" w:color="F2F2F2" w:fill="F2F2F2"/>
                  <w:vAlign w:val="center"/>
                </w:tcPr>
                <w:p>
                  <w:pPr>
                    <w:spacing w:line="260" w:lineRule="exact"/>
                    <w:rPr>
                      <w:rFonts w:eastAsiaTheme="minorEastAsia"/>
                      <w:spacing w:val="-12"/>
                      <w:szCs w:val="21"/>
                    </w:rPr>
                  </w:pPr>
                  <w:r>
                    <w:rPr>
                      <w:rFonts w:eastAsiaTheme="minorEastAsia"/>
                      <w:spacing w:val="-12"/>
                      <w:szCs w:val="21"/>
                    </w:rPr>
                    <w:t>CN209363191U 一种差压变送器取样管路自动反吹装置</w:t>
                  </w:r>
                </w:p>
              </w:tc>
              <w:tc>
                <w:tcPr>
                  <w:tcW w:w="4851" w:type="dxa"/>
                  <w:shd w:val="pct5" w:color="F2F2F2" w:fill="F2F2F2"/>
                  <w:vAlign w:val="center"/>
                </w:tcPr>
                <w:p>
                  <w:pPr>
                    <w:spacing w:line="260" w:lineRule="exact"/>
                    <w:rPr>
                      <w:rFonts w:eastAsiaTheme="minorEastAsia"/>
                      <w:spacing w:val="-12"/>
                      <w:szCs w:val="21"/>
                    </w:rPr>
                  </w:pPr>
                  <w:r>
                    <w:rPr>
                      <w:rFonts w:eastAsiaTheme="minorEastAsia"/>
                      <w:spacing w:val="-12"/>
                      <w:szCs w:val="21"/>
                    </w:rPr>
                    <w:t>提供一种差压变送器取样管路自动反吹装置，采用多路电磁阀控制；达不到本质安全设计，无法在矿井总回风等防爆型环境测量用；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shd w:val="pct5" w:color="F2F2F2" w:fill="F2F2F2"/>
                  <w:vAlign w:val="center"/>
                </w:tcPr>
                <w:p>
                  <w:pPr>
                    <w:spacing w:line="260" w:lineRule="exact"/>
                    <w:jc w:val="center"/>
                    <w:rPr>
                      <w:rFonts w:eastAsiaTheme="minorEastAsia"/>
                      <w:spacing w:val="-12"/>
                      <w:szCs w:val="21"/>
                    </w:rPr>
                  </w:pPr>
                  <w:r>
                    <w:rPr>
                      <w:rFonts w:eastAsiaTheme="minorEastAsia"/>
                      <w:spacing w:val="-12"/>
                      <w:szCs w:val="21"/>
                    </w:rPr>
                    <w:t>18</w:t>
                  </w:r>
                </w:p>
              </w:tc>
              <w:tc>
                <w:tcPr>
                  <w:tcW w:w="3260" w:type="dxa"/>
                  <w:shd w:val="pct5" w:color="F2F2F2" w:fill="F2F2F2"/>
                  <w:vAlign w:val="center"/>
                </w:tcPr>
                <w:p>
                  <w:pPr>
                    <w:spacing w:line="260" w:lineRule="exact"/>
                    <w:rPr>
                      <w:rFonts w:eastAsiaTheme="minorEastAsia"/>
                      <w:spacing w:val="-12"/>
                      <w:szCs w:val="21"/>
                    </w:rPr>
                  </w:pPr>
                  <w:r>
                    <w:rPr>
                      <w:rFonts w:eastAsiaTheme="minorEastAsia"/>
                      <w:spacing w:val="-12"/>
                      <w:szCs w:val="21"/>
                    </w:rPr>
                    <w:t>CN204758041U 气体流量测量用的差压流量测量装置</w:t>
                  </w:r>
                </w:p>
              </w:tc>
              <w:tc>
                <w:tcPr>
                  <w:tcW w:w="4851" w:type="dxa"/>
                  <w:shd w:val="pct5" w:color="F2F2F2" w:fill="F2F2F2"/>
                  <w:vAlign w:val="center"/>
                </w:tcPr>
                <w:p>
                  <w:pPr>
                    <w:spacing w:line="260" w:lineRule="exact"/>
                    <w:rPr>
                      <w:rFonts w:eastAsiaTheme="minorEastAsia"/>
                      <w:spacing w:val="-12"/>
                      <w:szCs w:val="21"/>
                    </w:rPr>
                  </w:pPr>
                  <w:r>
                    <w:rPr>
                      <w:rFonts w:eastAsiaTheme="minorEastAsia"/>
                      <w:spacing w:val="-12"/>
                      <w:szCs w:val="21"/>
                    </w:rPr>
                    <w:t>提出多组正压信号处理装置与多组负压信号处理装置，结构采用多级取压管，复杂不可靠，未解决粉尘等环境堵塞管路等难题；不能用于巷道风速测量，也不能实现双向测量；</w:t>
                  </w:r>
                </w:p>
              </w:tc>
            </w:tr>
          </w:tbl>
          <w:p>
            <w:pPr>
              <w:spacing w:before="156" w:beforeLines="50" w:line="30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本发明与包括上述专利在内的当前技术相比，主要具有以下优势：</w:t>
            </w:r>
          </w:p>
          <w:p>
            <w:pPr>
              <w:snapToGrid w:val="0"/>
              <w:spacing w:before="156" w:beforeLines="50"/>
              <w:jc w:val="center"/>
              <w:rPr>
                <w:rFonts w:asciiTheme="minorEastAsia" w:hAnsiTheme="minorEastAsia" w:eastAsiaTheme="minorEastAsia"/>
                <w:b/>
                <w:bCs/>
                <w:sz w:val="22"/>
                <w:szCs w:val="21"/>
              </w:rPr>
            </w:pPr>
            <w:r>
              <w:rPr>
                <w:rFonts w:hint="eastAsia" w:asciiTheme="minorEastAsia" w:hAnsiTheme="minorEastAsia" w:eastAsiaTheme="minorEastAsia"/>
                <w:b/>
                <w:bCs/>
                <w:sz w:val="22"/>
                <w:szCs w:val="21"/>
              </w:rPr>
              <w:t>表</w:t>
            </w:r>
            <w:r>
              <w:rPr>
                <w:rFonts w:asciiTheme="minorEastAsia" w:hAnsiTheme="minorEastAsia" w:eastAsiaTheme="minorEastAsia"/>
                <w:b/>
                <w:bCs/>
                <w:sz w:val="22"/>
                <w:szCs w:val="21"/>
              </w:rPr>
              <w:t>3</w:t>
            </w:r>
            <w:r>
              <w:rPr>
                <w:rFonts w:hint="eastAsia" w:asciiTheme="minorEastAsia" w:hAnsiTheme="minorEastAsia" w:eastAsiaTheme="minorEastAsia"/>
                <w:b/>
                <w:bCs/>
                <w:sz w:val="22"/>
                <w:szCs w:val="21"/>
              </w:rPr>
              <w:t xml:space="preserve"> 基于本专利产品与国内外相关技术的对比</w:t>
            </w:r>
          </w:p>
          <w:tbl>
            <w:tblPr>
              <w:tblStyle w:val="8"/>
              <w:tblW w:w="0" w:type="auto"/>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pct5" w:color="F2F2F2" w:fill="F2F2F2"/>
              <w:tblLayout w:type="fixed"/>
              <w:tblCellMar>
                <w:top w:w="0" w:type="dxa"/>
                <w:left w:w="108" w:type="dxa"/>
                <w:bottom w:w="0" w:type="dxa"/>
                <w:right w:w="108" w:type="dxa"/>
              </w:tblCellMar>
            </w:tblPr>
            <w:tblGrid>
              <w:gridCol w:w="1559"/>
              <w:gridCol w:w="3118"/>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pct5" w:color="F2F2F2" w:fill="F2F2F2"/>
                <w:tblCellMar>
                  <w:top w:w="0" w:type="dxa"/>
                  <w:left w:w="108" w:type="dxa"/>
                  <w:bottom w:w="0" w:type="dxa"/>
                  <w:right w:w="108" w:type="dxa"/>
                </w:tblCellMar>
              </w:tblPrEx>
              <w:trPr>
                <w:trHeight w:val="454" w:hRule="atLeast"/>
              </w:trPr>
              <w:tc>
                <w:tcPr>
                  <w:tcW w:w="1559" w:type="dxa"/>
                  <w:shd w:val="pct5" w:color="F2F2F2" w:fill="F2F2F2"/>
                </w:tcPr>
                <w:p>
                  <w:pPr>
                    <w:spacing w:line="300" w:lineRule="auto"/>
                    <w:jc w:val="left"/>
                    <w:rPr>
                      <w:rFonts w:asciiTheme="minorEastAsia" w:hAnsiTheme="minorEastAsia" w:eastAsiaTheme="minorEastAsia"/>
                      <w:b/>
                      <w:szCs w:val="21"/>
                    </w:rPr>
                  </w:pPr>
                </w:p>
              </w:tc>
              <w:tc>
                <w:tcPr>
                  <w:tcW w:w="3118" w:type="dxa"/>
                  <w:shd w:val="pct5" w:color="F2F2F2" w:fill="F2F2F2"/>
                  <w:vAlign w:val="center"/>
                </w:tcPr>
                <w:p>
                  <w:pPr>
                    <w:spacing w:line="300" w:lineRule="auto"/>
                    <w:jc w:val="left"/>
                    <w:rPr>
                      <w:rFonts w:asciiTheme="minorEastAsia" w:hAnsiTheme="minorEastAsia" w:eastAsiaTheme="minorEastAsia"/>
                      <w:b/>
                      <w:szCs w:val="21"/>
                    </w:rPr>
                  </w:pPr>
                  <w:r>
                    <w:rPr>
                      <w:rFonts w:hint="eastAsia" w:asciiTheme="minorEastAsia" w:hAnsiTheme="minorEastAsia" w:eastAsiaTheme="minorEastAsia"/>
                      <w:b/>
                      <w:szCs w:val="21"/>
                    </w:rPr>
                    <w:t>国内外其他技术</w:t>
                  </w:r>
                </w:p>
              </w:tc>
              <w:tc>
                <w:tcPr>
                  <w:tcW w:w="3544" w:type="dxa"/>
                  <w:shd w:val="pct5" w:color="F2F2F2" w:fill="F2F2F2"/>
                  <w:vAlign w:val="center"/>
                </w:tcPr>
                <w:p>
                  <w:pPr>
                    <w:spacing w:line="300" w:lineRule="auto"/>
                    <w:jc w:val="center"/>
                    <w:rPr>
                      <w:rFonts w:asciiTheme="minorEastAsia" w:hAnsiTheme="minorEastAsia" w:eastAsiaTheme="minorEastAsia"/>
                      <w:b/>
                      <w:szCs w:val="21"/>
                    </w:rPr>
                  </w:pPr>
                  <w:r>
                    <w:rPr>
                      <w:rFonts w:hint="eastAsia" w:asciiTheme="minorEastAsia" w:hAnsiTheme="minorEastAsia" w:eastAsiaTheme="minorEastAsia"/>
                      <w:b/>
                      <w:szCs w:val="21"/>
                    </w:rPr>
                    <w:t>本发明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pct5" w:color="F2F2F2" w:fill="F2F2F2"/>
                <w:tblCellMar>
                  <w:top w:w="0" w:type="dxa"/>
                  <w:left w:w="108" w:type="dxa"/>
                  <w:bottom w:w="0" w:type="dxa"/>
                  <w:right w:w="108" w:type="dxa"/>
                </w:tblCellMar>
              </w:tblPrEx>
              <w:trPr>
                <w:trHeight w:val="454" w:hRule="atLeast"/>
              </w:trPr>
              <w:tc>
                <w:tcPr>
                  <w:tcW w:w="1559" w:type="dxa"/>
                  <w:shd w:val="pct5" w:color="F2F2F2" w:fill="F2F2F2"/>
                  <w:vAlign w:val="center"/>
                </w:tcPr>
                <w:p>
                  <w:pPr>
                    <w:jc w:val="left"/>
                    <w:rPr>
                      <w:rFonts w:asciiTheme="minorEastAsia" w:hAnsiTheme="minorEastAsia" w:eastAsiaTheme="minorEastAsia"/>
                      <w:b/>
                      <w:bCs/>
                      <w:spacing w:val="-10"/>
                      <w:szCs w:val="21"/>
                    </w:rPr>
                  </w:pPr>
                  <w:r>
                    <w:rPr>
                      <w:rFonts w:hint="eastAsia" w:asciiTheme="minorEastAsia" w:hAnsiTheme="minorEastAsia" w:eastAsiaTheme="minorEastAsia"/>
                      <w:b/>
                      <w:bCs/>
                      <w:spacing w:val="-10"/>
                      <w:szCs w:val="21"/>
                    </w:rPr>
                    <w:t>双向风速传感器</w:t>
                  </w:r>
                </w:p>
              </w:tc>
              <w:tc>
                <w:tcPr>
                  <w:tcW w:w="3118" w:type="dxa"/>
                  <w:shd w:val="pct5" w:color="F2F2F2" w:fill="F2F2F2"/>
                  <w:vAlign w:val="center"/>
                </w:tcPr>
                <w:p>
                  <w:pPr>
                    <w:jc w:val="left"/>
                    <w:rPr>
                      <w:rFonts w:asciiTheme="minorEastAsia" w:hAnsiTheme="minorEastAsia" w:eastAsiaTheme="minorEastAsia"/>
                      <w:spacing w:val="-10"/>
                      <w:szCs w:val="21"/>
                    </w:rPr>
                  </w:pPr>
                  <w:r>
                    <w:rPr>
                      <w:rFonts w:hint="eastAsia" w:asciiTheme="minorEastAsia" w:hAnsiTheme="minorEastAsia" w:eastAsiaTheme="minorEastAsia"/>
                      <w:spacing w:val="-10"/>
                      <w:szCs w:val="21"/>
                    </w:rPr>
                    <w:t>煤矿行业淮南润成科技股份有限公司、北京瑞赛长城航空测控技术有限公司为典型代表均采用差压式风速；在其他气象领域国家海洋技术中心提出 “一种小型化超声波风速传感器及其风速测量方法</w:t>
                  </w:r>
                  <w:r>
                    <w:rPr>
                      <w:rFonts w:asciiTheme="minorEastAsia" w:hAnsiTheme="minorEastAsia" w:eastAsiaTheme="minorEastAsia"/>
                      <w:spacing w:val="-10"/>
                      <w:szCs w:val="21"/>
                    </w:rPr>
                    <w:t>CN202110565405.X</w:t>
                  </w:r>
                  <w:r>
                    <w:rPr>
                      <w:rFonts w:hint="eastAsia" w:asciiTheme="minorEastAsia" w:hAnsiTheme="minorEastAsia" w:eastAsiaTheme="minorEastAsia"/>
                      <w:spacing w:val="-10"/>
                      <w:szCs w:val="21"/>
                    </w:rPr>
                    <w:t>”。</w:t>
                  </w:r>
                </w:p>
              </w:tc>
              <w:tc>
                <w:tcPr>
                  <w:tcW w:w="3544" w:type="dxa"/>
                  <w:shd w:val="pct5" w:color="F2F2F2" w:fill="F2F2F2"/>
                  <w:vAlign w:val="center"/>
                </w:tcPr>
                <w:p>
                  <w:pPr>
                    <w:jc w:val="left"/>
                    <w:rPr>
                      <w:rFonts w:asciiTheme="minorEastAsia" w:hAnsiTheme="minorEastAsia" w:eastAsiaTheme="minorEastAsia"/>
                      <w:spacing w:val="-10"/>
                      <w:szCs w:val="21"/>
                    </w:rPr>
                  </w:pPr>
                  <w:r>
                    <w:rPr>
                      <w:rFonts w:hint="eastAsia" w:asciiTheme="minorEastAsia" w:hAnsiTheme="minorEastAsia" w:eastAsiaTheme="minorEastAsia"/>
                      <w:spacing w:val="-10"/>
                      <w:szCs w:val="21"/>
                    </w:rPr>
                    <w:t>实现了一种采用微差压元件、电磁阀组、中央处理单元一体化设计的零点自动校准模块，该模块与控制电路塑封于一电磁屏蔽壳体内。通过控制命令智能切换微差压元件压力采样管路，达到微差压元件零点的自动校准，提高了多参数气体流量传感器测量技术自动化水平；基于专利技术后，微差压元件可采用国产代替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pct5" w:color="F2F2F2" w:fill="F2F2F2"/>
                <w:tblCellMar>
                  <w:top w:w="0" w:type="dxa"/>
                  <w:left w:w="108" w:type="dxa"/>
                  <w:bottom w:w="0" w:type="dxa"/>
                  <w:right w:w="108" w:type="dxa"/>
                </w:tblCellMar>
              </w:tblPrEx>
              <w:trPr>
                <w:trHeight w:val="454" w:hRule="atLeast"/>
              </w:trPr>
              <w:tc>
                <w:tcPr>
                  <w:tcW w:w="1559" w:type="dxa"/>
                  <w:shd w:val="pct5" w:color="F2F2F2" w:fill="F2F2F2"/>
                  <w:vAlign w:val="center"/>
                </w:tcPr>
                <w:p>
                  <w:pPr>
                    <w:jc w:val="left"/>
                    <w:rPr>
                      <w:rFonts w:asciiTheme="minorEastAsia" w:hAnsiTheme="minorEastAsia" w:eastAsiaTheme="minorEastAsia"/>
                      <w:b/>
                      <w:bCs/>
                      <w:spacing w:val="-10"/>
                      <w:szCs w:val="21"/>
                    </w:rPr>
                  </w:pPr>
                  <w:r>
                    <w:rPr>
                      <w:rFonts w:hint="eastAsia" w:asciiTheme="minorEastAsia" w:hAnsiTheme="minorEastAsia" w:eastAsiaTheme="minorEastAsia"/>
                      <w:b/>
                      <w:bCs/>
                      <w:spacing w:val="-10"/>
                      <w:szCs w:val="21"/>
                    </w:rPr>
                    <w:t>风筒风量传感器</w:t>
                  </w:r>
                </w:p>
              </w:tc>
              <w:tc>
                <w:tcPr>
                  <w:tcW w:w="3118" w:type="dxa"/>
                  <w:shd w:val="pct5" w:color="F2F2F2" w:fill="F2F2F2"/>
                  <w:vAlign w:val="center"/>
                </w:tcPr>
                <w:p>
                  <w:pPr>
                    <w:jc w:val="left"/>
                    <w:rPr>
                      <w:rFonts w:asciiTheme="minorEastAsia" w:hAnsiTheme="minorEastAsia" w:eastAsiaTheme="minorEastAsia"/>
                      <w:spacing w:val="-10"/>
                      <w:szCs w:val="21"/>
                    </w:rPr>
                  </w:pPr>
                  <w:r>
                    <w:rPr>
                      <w:rFonts w:hint="eastAsia" w:asciiTheme="minorEastAsia" w:hAnsiTheme="minorEastAsia" w:eastAsiaTheme="minorEastAsia"/>
                      <w:spacing w:val="-10"/>
                      <w:szCs w:val="21"/>
                    </w:rPr>
                    <w:t>煤矿行业江苏三恒提出“一种基于倾斜角识别的风筒风量传感器及其使用方法N111735515A”，基于倾角检测，仅能实现开关量有风无风状态输出 ；</w:t>
                  </w:r>
                </w:p>
                <w:p>
                  <w:pPr>
                    <w:jc w:val="left"/>
                    <w:rPr>
                      <w:rFonts w:asciiTheme="minorEastAsia" w:hAnsiTheme="minorEastAsia" w:eastAsiaTheme="minorEastAsia"/>
                      <w:spacing w:val="-10"/>
                      <w:szCs w:val="21"/>
                    </w:rPr>
                  </w:pPr>
                </w:p>
              </w:tc>
              <w:tc>
                <w:tcPr>
                  <w:tcW w:w="3544" w:type="dxa"/>
                  <w:shd w:val="pct5" w:color="F2F2F2" w:fill="F2F2F2"/>
                  <w:vAlign w:val="center"/>
                </w:tcPr>
                <w:p>
                  <w:pPr>
                    <w:jc w:val="left"/>
                    <w:rPr>
                      <w:rFonts w:asciiTheme="minorEastAsia" w:hAnsiTheme="minorEastAsia" w:eastAsiaTheme="minorEastAsia"/>
                      <w:spacing w:val="-10"/>
                      <w:szCs w:val="21"/>
                    </w:rPr>
                  </w:pPr>
                  <w:r>
                    <w:rPr>
                      <w:rFonts w:hint="eastAsia" w:asciiTheme="minorEastAsia" w:hAnsiTheme="minorEastAsia" w:eastAsiaTheme="minorEastAsia"/>
                      <w:spacing w:val="-10"/>
                      <w:szCs w:val="21"/>
                    </w:rPr>
                    <w:t>发明了一种缓冲腔并结合防堵导流槽的微差压取样探头，一方面，导流槽能有效消除冷凝水由于表面张力形成的水膜导致的堵塞；另一方面，缓冲腔能阻止粉尘进入微差压元件管路导致的堵塞。采用该发明技术的探头结构实现了高粉尘、高湿度条件下风筒风量高精度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pct5" w:color="F2F2F2" w:fill="F2F2F2"/>
                <w:tblCellMar>
                  <w:top w:w="0" w:type="dxa"/>
                  <w:left w:w="108" w:type="dxa"/>
                  <w:bottom w:w="0" w:type="dxa"/>
                  <w:right w:w="108" w:type="dxa"/>
                </w:tblCellMar>
              </w:tblPrEx>
              <w:trPr>
                <w:trHeight w:val="454" w:hRule="atLeast"/>
              </w:trPr>
              <w:tc>
                <w:tcPr>
                  <w:tcW w:w="1559" w:type="dxa"/>
                  <w:shd w:val="pct5" w:color="F2F2F2" w:fill="F2F2F2"/>
                  <w:vAlign w:val="center"/>
                </w:tcPr>
                <w:p>
                  <w:pPr>
                    <w:jc w:val="left"/>
                    <w:rPr>
                      <w:rFonts w:asciiTheme="minorEastAsia" w:hAnsiTheme="minorEastAsia" w:eastAsiaTheme="minorEastAsia"/>
                      <w:b/>
                      <w:bCs/>
                      <w:spacing w:val="-10"/>
                      <w:szCs w:val="21"/>
                    </w:rPr>
                  </w:pPr>
                  <w:r>
                    <w:rPr>
                      <w:rFonts w:hint="eastAsia" w:asciiTheme="minorEastAsia" w:hAnsiTheme="minorEastAsia" w:eastAsiaTheme="minorEastAsia"/>
                      <w:b/>
                      <w:bCs/>
                      <w:spacing w:val="-10"/>
                      <w:szCs w:val="21"/>
                    </w:rPr>
                    <w:t>多参数气体流量传感器</w:t>
                  </w:r>
                </w:p>
              </w:tc>
              <w:tc>
                <w:tcPr>
                  <w:tcW w:w="3118" w:type="dxa"/>
                  <w:shd w:val="pct5" w:color="F2F2F2" w:fill="F2F2F2"/>
                  <w:vAlign w:val="center"/>
                </w:tcPr>
                <w:p>
                  <w:pPr>
                    <w:jc w:val="left"/>
                    <w:rPr>
                      <w:rFonts w:asciiTheme="minorEastAsia" w:hAnsiTheme="minorEastAsia" w:eastAsiaTheme="minorEastAsia"/>
                      <w:spacing w:val="-10"/>
                      <w:szCs w:val="21"/>
                    </w:rPr>
                  </w:pPr>
                  <w:r>
                    <w:rPr>
                      <w:rFonts w:hint="eastAsia" w:asciiTheme="minorEastAsia" w:hAnsiTheme="minorEastAsia" w:eastAsiaTheme="minorEastAsia"/>
                      <w:spacing w:val="-10"/>
                      <w:szCs w:val="21"/>
                    </w:rPr>
                    <w:t>煤矿行业国内多以差压式检测为主，多采用昂贵的进口高精度差压元件；国外GE等公司管道流量以超声波为主；</w:t>
                  </w:r>
                </w:p>
              </w:tc>
              <w:tc>
                <w:tcPr>
                  <w:tcW w:w="3544" w:type="dxa"/>
                  <w:shd w:val="pct5" w:color="F2F2F2" w:fill="F2F2F2"/>
                  <w:vAlign w:val="center"/>
                </w:tcPr>
                <w:p>
                  <w:pPr>
                    <w:jc w:val="left"/>
                    <w:rPr>
                      <w:rFonts w:asciiTheme="minorEastAsia" w:hAnsiTheme="minorEastAsia" w:eastAsiaTheme="minorEastAsia"/>
                      <w:spacing w:val="-10"/>
                      <w:szCs w:val="21"/>
                    </w:rPr>
                  </w:pPr>
                  <w:r>
                    <w:rPr>
                      <w:rFonts w:hint="eastAsia" w:asciiTheme="minorEastAsia" w:hAnsiTheme="minorEastAsia" w:eastAsiaTheme="minorEastAsia"/>
                      <w:spacing w:val="-10"/>
                      <w:szCs w:val="21"/>
                    </w:rPr>
                    <w:t>通过中央处理单元接收微差压元件的差压信号和两位三通电磁阀的状态，采用时序及分支预判断方法控制两位三通电磁阀导通动压和静压管路，使微差压元件取压口处于同一压力环境中，解决了零点漂移对压力（差压）测量的影响，实现零点自动校准，修正微差压元件线性特性。</w:t>
                  </w:r>
                </w:p>
              </w:tc>
            </w:tr>
          </w:tbl>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本专利提出的方法完全</w:t>
            </w:r>
            <w:r>
              <w:rPr>
                <w:rFonts w:asciiTheme="minorEastAsia" w:hAnsiTheme="minorEastAsia" w:eastAsiaTheme="minorEastAsia"/>
                <w:sz w:val="24"/>
              </w:rPr>
              <w:t>覆盖</w:t>
            </w:r>
            <w:r>
              <w:rPr>
                <w:rFonts w:hint="eastAsia" w:asciiTheme="minorEastAsia" w:hAnsiTheme="minorEastAsia" w:eastAsiaTheme="minorEastAsia"/>
                <w:sz w:val="24"/>
              </w:rPr>
              <w:t>风速检测方法、取压件结构工艺设计、防尘防水技术、数据处理算法，覆盖整个</w:t>
            </w:r>
            <w:r>
              <w:rPr>
                <w:rFonts w:hint="eastAsia"/>
                <w:sz w:val="24"/>
              </w:rPr>
              <w:t>风（流）速</w:t>
            </w:r>
            <w:r>
              <w:rPr>
                <w:rFonts w:hint="eastAsia" w:asciiTheme="minorEastAsia" w:hAnsiTheme="minorEastAsia" w:eastAsiaTheme="minorEastAsia"/>
                <w:sz w:val="24"/>
              </w:rPr>
              <w:t>检测方法全流程，具有技术先进性和原创性。</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同时，本专利“双向风速、风向测量的检测装置及检测方法”相较其他同类技术在</w:t>
            </w:r>
            <w:r>
              <w:rPr>
                <w:rFonts w:asciiTheme="minorEastAsia" w:hAnsiTheme="minorEastAsia" w:eastAsiaTheme="minorEastAsia"/>
                <w:sz w:val="24"/>
              </w:rPr>
              <w:t>提高效率、降低成本、节能减排、改善性能、提升品质等方面</w:t>
            </w:r>
            <w:r>
              <w:rPr>
                <w:rFonts w:hint="eastAsia" w:asciiTheme="minorEastAsia" w:hAnsiTheme="minorEastAsia" w:eastAsiaTheme="minorEastAsia"/>
                <w:sz w:val="24"/>
              </w:rPr>
              <w:t>都具有明显的优势。</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本专利技术在应用期间体现出如下技术优势：</w:t>
            </w:r>
          </w:p>
          <w:p>
            <w:pPr>
              <w:spacing w:line="360" w:lineRule="auto"/>
              <w:ind w:firstLine="482" w:firstLineChars="200"/>
              <w:rPr>
                <w:rFonts w:eastAsiaTheme="minorEastAsia"/>
                <w:b/>
                <w:bCs/>
                <w:sz w:val="24"/>
              </w:rPr>
            </w:pPr>
            <w:r>
              <w:rPr>
                <w:rFonts w:eastAsiaTheme="minorEastAsia"/>
                <w:b/>
                <w:bCs/>
                <w:sz w:val="24"/>
              </w:rPr>
              <w:t>（1）实现了校准装备的集成化及校准操作的常态化</w:t>
            </w:r>
          </w:p>
          <w:p>
            <w:pPr>
              <w:spacing w:line="360" w:lineRule="auto"/>
              <w:ind w:firstLine="480" w:firstLineChars="200"/>
              <w:rPr>
                <w:rFonts w:eastAsiaTheme="minorEastAsia"/>
                <w:sz w:val="24"/>
              </w:rPr>
            </w:pPr>
            <w:r>
              <w:rPr>
                <w:rFonts w:eastAsiaTheme="minorEastAsia"/>
                <w:sz w:val="24"/>
              </w:rPr>
              <w:t>在装备实现方面，由传统的固定时间间隔人工校正变为智能实时自动校准，实现了校准装备的集成化及校准操作的常态化，极大的减少了操作人员的维护工作量并保障了安全性，提高了操作人员的工作效率。</w:t>
            </w:r>
          </w:p>
          <w:p>
            <w:pPr>
              <w:spacing w:line="360" w:lineRule="auto"/>
              <w:ind w:firstLine="482" w:firstLineChars="200"/>
              <w:rPr>
                <w:rFonts w:eastAsiaTheme="minorEastAsia"/>
                <w:b/>
                <w:bCs/>
                <w:sz w:val="24"/>
              </w:rPr>
            </w:pPr>
            <w:r>
              <w:rPr>
                <w:rFonts w:eastAsiaTheme="minorEastAsia"/>
                <w:b/>
                <w:bCs/>
                <w:sz w:val="24"/>
              </w:rPr>
              <w:t>（2）实现了校准自动化，降低了校准成本，保障了操作人员安全</w:t>
            </w:r>
          </w:p>
          <w:p>
            <w:pPr>
              <w:spacing w:line="360" w:lineRule="auto"/>
              <w:ind w:firstLine="480" w:firstLineChars="200"/>
              <w:rPr>
                <w:rFonts w:eastAsiaTheme="minorEastAsia"/>
                <w:sz w:val="24"/>
              </w:rPr>
            </w:pPr>
            <w:r>
              <w:rPr>
                <w:rFonts w:eastAsiaTheme="minorEastAsia"/>
                <w:sz w:val="24"/>
              </w:rPr>
              <w:t>由于本专利可自动校准，校准过程中无需人员驻守校准现场，取代了现场的人工比对法、实验风洞及标准流量校准法，有效降低了校准成本，并实现了校准自动化，减少了人员下井频次，保障了操作人员的安全。</w:t>
            </w:r>
          </w:p>
          <w:p>
            <w:pPr>
              <w:spacing w:line="360" w:lineRule="auto"/>
              <w:ind w:firstLine="482" w:firstLineChars="200"/>
              <w:rPr>
                <w:rFonts w:eastAsiaTheme="minorEastAsia"/>
                <w:b/>
                <w:bCs/>
                <w:sz w:val="24"/>
              </w:rPr>
            </w:pPr>
            <w:r>
              <w:rPr>
                <w:rFonts w:eastAsiaTheme="minorEastAsia"/>
                <w:b/>
                <w:bCs/>
                <w:sz w:val="24"/>
              </w:rPr>
              <w:t>（3）设备人工校准周期长，减少校准次数，降低能耗水平</w:t>
            </w:r>
          </w:p>
          <w:p>
            <w:pPr>
              <w:spacing w:line="360" w:lineRule="auto"/>
              <w:ind w:firstLine="480" w:firstLineChars="200"/>
              <w:rPr>
                <w:rFonts w:eastAsiaTheme="minorEastAsia"/>
                <w:sz w:val="24"/>
              </w:rPr>
            </w:pPr>
            <w:r>
              <w:rPr>
                <w:rFonts w:eastAsiaTheme="minorEastAsia"/>
                <w:sz w:val="24"/>
              </w:rPr>
              <w:t>由于本专利在设备内部集成自动校准模块，实现了工矿流速检测设备的实时自校准，延长了人工校正周期，减少了人为下井校正次数，减少了传统的大功率标准风洞及流量标准装置等复杂外部校准频次，有效降低了校准的能耗水平，降低能耗90%。</w:t>
            </w:r>
          </w:p>
          <w:p>
            <w:pPr>
              <w:spacing w:line="360" w:lineRule="auto"/>
              <w:ind w:firstLine="482" w:firstLineChars="200"/>
              <w:rPr>
                <w:rFonts w:eastAsiaTheme="minorEastAsia"/>
                <w:b/>
                <w:bCs/>
                <w:sz w:val="24"/>
              </w:rPr>
            </w:pPr>
            <w:r>
              <w:rPr>
                <w:rFonts w:eastAsiaTheme="minorEastAsia"/>
                <w:b/>
                <w:bCs/>
                <w:sz w:val="24"/>
              </w:rPr>
              <w:t>（4）提高了现场环境风速和管道流速测量的准确度</w:t>
            </w:r>
          </w:p>
          <w:p>
            <w:pPr>
              <w:spacing w:line="360" w:lineRule="auto"/>
              <w:ind w:firstLine="480" w:firstLineChars="200"/>
              <w:rPr>
                <w:rFonts w:eastAsiaTheme="minorEastAsia"/>
                <w:sz w:val="24"/>
              </w:rPr>
            </w:pPr>
            <w:r>
              <w:rPr>
                <w:rFonts w:eastAsiaTheme="minorEastAsia"/>
                <w:sz w:val="24"/>
              </w:rPr>
              <w:t>基于专利成果研制了矿用风速、风筒风量、气体流量等系列传感器，突破了煤矿行业</w:t>
            </w:r>
            <w:r>
              <w:rPr>
                <w:sz w:val="24"/>
              </w:rPr>
              <w:t>风（流）速</w:t>
            </w:r>
            <w:r>
              <w:rPr>
                <w:rFonts w:eastAsiaTheme="minorEastAsia"/>
                <w:sz w:val="24"/>
              </w:rPr>
              <w:t>测量范围的下限，提高了测量精度。传统产品仅实现了差压精度±0.2Pa</w:t>
            </w:r>
            <w:r>
              <w:rPr>
                <w:rFonts w:hint="eastAsia" w:eastAsiaTheme="minorEastAsia"/>
                <w:sz w:val="24"/>
              </w:rPr>
              <w:t>，</w:t>
            </w:r>
            <w:r>
              <w:rPr>
                <w:rFonts w:eastAsiaTheme="minorEastAsia"/>
                <w:sz w:val="24"/>
              </w:rPr>
              <w:t>风速测量下限0.4m/s</w:t>
            </w:r>
            <w:r>
              <w:rPr>
                <w:rFonts w:hint="eastAsia" w:eastAsiaTheme="minorEastAsia"/>
                <w:sz w:val="24"/>
              </w:rPr>
              <w:t>，</w:t>
            </w:r>
            <w:r>
              <w:rPr>
                <w:rFonts w:eastAsiaTheme="minorEastAsia"/>
                <w:sz w:val="24"/>
              </w:rPr>
              <w:t>精度±0.2m/s；本专利技术产品实现了差压精度±0.1Pa</w:t>
            </w:r>
            <w:r>
              <w:rPr>
                <w:rFonts w:hint="eastAsia" w:eastAsiaTheme="minorEastAsia"/>
                <w:sz w:val="24"/>
              </w:rPr>
              <w:t>，</w:t>
            </w:r>
            <w:r>
              <w:rPr>
                <w:rFonts w:eastAsiaTheme="minorEastAsia"/>
                <w:sz w:val="24"/>
              </w:rPr>
              <w:t>风速测量下限0.1m/s</w:t>
            </w:r>
            <w:r>
              <w:rPr>
                <w:rFonts w:hint="eastAsia" w:eastAsiaTheme="minorEastAsia"/>
                <w:sz w:val="24"/>
              </w:rPr>
              <w:t>，</w:t>
            </w:r>
            <w:r>
              <w:rPr>
                <w:rFonts w:eastAsiaTheme="minorEastAsia"/>
                <w:sz w:val="24"/>
              </w:rPr>
              <w:t>精度±0.1m/s。</w:t>
            </w:r>
          </w:p>
          <w:p>
            <w:pPr>
              <w:spacing w:line="360" w:lineRule="auto"/>
              <w:ind w:firstLine="482" w:firstLineChars="200"/>
              <w:rPr>
                <w:rFonts w:eastAsiaTheme="minorEastAsia"/>
                <w:b/>
                <w:bCs/>
                <w:sz w:val="24"/>
              </w:rPr>
            </w:pPr>
            <w:r>
              <w:rPr>
                <w:rFonts w:eastAsiaTheme="minorEastAsia"/>
                <w:b/>
                <w:bCs/>
                <w:sz w:val="24"/>
              </w:rPr>
              <w:t>（5）提升了工矿流速测量设备的品质</w:t>
            </w:r>
          </w:p>
          <w:p>
            <w:pPr>
              <w:spacing w:line="360" w:lineRule="auto"/>
              <w:ind w:firstLine="480" w:firstLineChars="200"/>
              <w:rPr>
                <w:rFonts w:eastAsiaTheme="minorEastAsia"/>
                <w:sz w:val="24"/>
              </w:rPr>
            </w:pPr>
            <w:r>
              <w:rPr>
                <w:rFonts w:eastAsiaTheme="minorEastAsia"/>
                <w:sz w:val="24"/>
              </w:rPr>
              <w:t>本专利的防堵引压探头技术能保障工矿流速测量设备在煤矿恶劣环境条件下的测量性能，避免受到粉尘、水汽的堵塞造成测量的不准确甚至失效的问题，大大提升了</w:t>
            </w:r>
            <w:r>
              <w:rPr>
                <w:sz w:val="24"/>
              </w:rPr>
              <w:t>风（流）速</w:t>
            </w:r>
            <w:r>
              <w:rPr>
                <w:rFonts w:eastAsiaTheme="minorEastAsia"/>
                <w:sz w:val="24"/>
              </w:rPr>
              <w:t>测量设备的稳定性和适应性，将原风（流）速类产品调校周期从15d提升到自动校准，采用本专利技术的产品，从产品的稳定性、用户体验、可靠性等方面得到有效提升。</w:t>
            </w:r>
          </w:p>
          <w:p>
            <w:pPr>
              <w:spacing w:line="360" w:lineRule="auto"/>
              <w:ind w:firstLine="482" w:firstLineChars="200"/>
              <w:rPr>
                <w:rFonts w:ascii="仿宋_GB2312" w:eastAsia="仿宋_GB2312"/>
                <w:sz w:val="24"/>
              </w:rPr>
            </w:pPr>
            <w:r>
              <w:rPr>
                <w:rFonts w:hint="eastAsia" w:ascii="仿宋_GB2312" w:eastAsia="仿宋_GB2312"/>
                <w:b/>
                <w:sz w:val="24"/>
              </w:rPr>
              <w:t>（三）技术通用性：</w:t>
            </w:r>
            <w:r>
              <w:rPr>
                <w:rFonts w:ascii="仿宋_GB2312" w:eastAsia="仿宋_GB2312"/>
                <w:sz w:val="24"/>
              </w:rPr>
              <w:t xml:space="preserve"> </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该专利技术目前已应用于煤矿安全领域，主要应用于煤矿环境风速检测、管道流速检测、风筒风速风量检测。 </w:t>
            </w:r>
          </w:p>
          <w:p>
            <w:pPr>
              <w:spacing w:line="360" w:lineRule="auto"/>
              <w:ind w:firstLine="480" w:firstLineChars="200"/>
              <w:rPr>
                <w:rFonts w:eastAsiaTheme="minorEastAsia"/>
                <w:sz w:val="24"/>
              </w:rPr>
            </w:pPr>
            <w:r>
              <w:rPr>
                <w:rFonts w:eastAsiaTheme="minorEastAsia"/>
                <w:sz w:val="24"/>
              </w:rPr>
              <w:t>该专利技术还可扩展应用于除煤矿以外的非煤矿山、烟气排放、石油化工、综合管廊、燃气管网等流速检测领域，还可扩展应用于气象风速检测、压力校准仪等高端仪器检测提供核心技术，</w:t>
            </w:r>
            <w:r>
              <w:rPr>
                <w:rFonts w:eastAsiaTheme="minorEastAsia"/>
                <w:b/>
                <w:bCs/>
                <w:sz w:val="24"/>
              </w:rPr>
              <w:t>可将校准设备精度从0.25%FS提升到0.1%FS，成本从15万元/套降低到0.5万元/套</w:t>
            </w:r>
            <w:r>
              <w:rPr>
                <w:rFonts w:eastAsiaTheme="minorEastAsia"/>
                <w:sz w:val="24"/>
              </w:rPr>
              <w:t>，有较强的推广和适用意义。</w:t>
            </w:r>
          </w:p>
          <w:p>
            <w:pPr>
              <w:spacing w:line="360" w:lineRule="auto"/>
              <w:ind w:firstLine="480" w:firstLineChars="200"/>
              <w:rPr>
                <w:rFonts w:asciiTheme="minorEastAsia" w:hAnsiTheme="minorEastAsia" w:eastAsiaTheme="minorEastAsia"/>
                <w:sz w:val="24"/>
              </w:rPr>
            </w:pPr>
          </w:p>
          <w:p>
            <w:pPr>
              <w:spacing w:line="360" w:lineRule="auto"/>
              <w:ind w:firstLine="480" w:firstLineChars="200"/>
              <w:rPr>
                <w:rFonts w:asciiTheme="minorEastAsia" w:hAnsiTheme="minorEastAsia" w:eastAsiaTheme="minorEastAsia"/>
                <w:sz w:val="24"/>
              </w:rPr>
            </w:pPr>
          </w:p>
          <w:p>
            <w:pPr>
              <w:spacing w:line="360" w:lineRule="auto"/>
              <w:ind w:firstLine="480" w:firstLineChars="200"/>
              <w:rPr>
                <w:rFonts w:asciiTheme="minorEastAsia" w:hAnsiTheme="minorEastAsia" w:eastAsiaTheme="minorEastAsia"/>
                <w:sz w:val="24"/>
              </w:rPr>
            </w:pPr>
          </w:p>
          <w:p>
            <w:pPr>
              <w:spacing w:line="360" w:lineRule="auto"/>
              <w:ind w:firstLine="480" w:firstLineChars="200"/>
              <w:rPr>
                <w:rFonts w:asciiTheme="minorEastAsia" w:hAnsiTheme="minorEastAsia" w:eastAsiaTheme="minorEastAsia"/>
                <w:sz w:val="24"/>
              </w:rPr>
            </w:pPr>
          </w:p>
          <w:p>
            <w:pPr>
              <w:spacing w:line="360" w:lineRule="auto"/>
              <w:ind w:firstLine="480" w:firstLineChars="200"/>
              <w:rPr>
                <w:rFonts w:asciiTheme="minorEastAsia" w:hAnsiTheme="minorEastAsia" w:eastAsiaTheme="minorEastAsia"/>
                <w:sz w:val="24"/>
              </w:rPr>
            </w:pPr>
          </w:p>
          <w:p>
            <w:pPr>
              <w:spacing w:line="360" w:lineRule="auto"/>
              <w:ind w:firstLine="480" w:firstLineChars="200"/>
              <w:rPr>
                <w:rFonts w:asciiTheme="minorEastAsia" w:hAnsiTheme="minorEastAsia" w:eastAsiaTheme="minorEastAsia"/>
                <w:sz w:val="24"/>
              </w:rPr>
            </w:pPr>
          </w:p>
          <w:p>
            <w:pPr>
              <w:spacing w:line="360" w:lineRule="auto"/>
              <w:ind w:firstLine="480" w:firstLineChars="200"/>
              <w:rPr>
                <w:rFonts w:asciiTheme="minorEastAsia" w:hAnsiTheme="minorEastAsia" w:eastAsiaTheme="minorEastAsia"/>
                <w:sz w:val="24"/>
              </w:rPr>
            </w:pPr>
          </w:p>
          <w:p>
            <w:pPr>
              <w:spacing w:line="360" w:lineRule="auto"/>
              <w:ind w:firstLine="480" w:firstLineChars="200"/>
              <w:rPr>
                <w:rFonts w:asciiTheme="minorEastAsia" w:hAnsiTheme="minorEastAsia" w:eastAsiaTheme="minorEastAsia"/>
                <w:sz w:val="24"/>
              </w:rPr>
            </w:pPr>
          </w:p>
        </w:tc>
      </w:tr>
    </w:tbl>
    <w:p>
      <w:pPr>
        <w:spacing w:line="360" w:lineRule="auto"/>
        <w:jc w:val="center"/>
        <w:rPr>
          <w:rFonts w:eastAsia="方正小标宋简体"/>
          <w:sz w:val="44"/>
        </w:rPr>
      </w:pPr>
      <w:r>
        <w:rPr>
          <w:rFonts w:hint="eastAsia" w:eastAsia="方正小标宋简体"/>
          <w:b/>
          <w:sz w:val="44"/>
        </w:rPr>
        <w:t>四、运用及保护措施和成效评价材料（一）</w:t>
      </w:r>
    </w:p>
    <w:tbl>
      <w:tblPr>
        <w:tblStyle w:val="8"/>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2" w:hRule="atLeast"/>
          <w:jc w:val="center"/>
        </w:trPr>
        <w:tc>
          <w:tcPr>
            <w:tcW w:w="8463" w:type="dxa"/>
            <w:tcBorders>
              <w:tl2br w:val="nil"/>
              <w:tr2bl w:val="nil"/>
            </w:tcBorders>
          </w:tcPr>
          <w:p>
            <w:pPr>
              <w:spacing w:line="360" w:lineRule="auto"/>
              <w:ind w:firstLine="482" w:firstLineChars="200"/>
              <w:rPr>
                <w:rFonts w:eastAsia="仿宋_GB2312"/>
                <w:color w:val="000000" w:themeColor="text1"/>
                <w:sz w:val="24"/>
                <w14:textFill>
                  <w14:solidFill>
                    <w14:schemeClr w14:val="tx1"/>
                  </w14:solidFill>
                </w14:textFill>
              </w:rPr>
            </w:pPr>
            <w:r>
              <w:rPr>
                <w:rFonts w:hint="eastAsia" w:ascii="仿宋_GB2312" w:eastAsia="仿宋_GB2312"/>
                <w:b/>
                <w:sz w:val="24"/>
              </w:rPr>
              <w:t>（一）专利运用：</w:t>
            </w:r>
            <w:r>
              <w:rPr>
                <w:rFonts w:eastAsia="仿宋_GB2312"/>
                <w:color w:val="000000" w:themeColor="text1"/>
                <w:sz w:val="24"/>
                <w14:textFill>
                  <w14:solidFill>
                    <w14:schemeClr w14:val="tx1"/>
                  </w14:solidFill>
                </w14:textFill>
              </w:rPr>
              <w:t xml:space="preserve"> </w:t>
            </w:r>
          </w:p>
          <w:p>
            <w:pPr>
              <w:spacing w:line="360" w:lineRule="auto"/>
              <w:ind w:firstLine="540" w:firstLineChars="225"/>
              <w:rPr>
                <w:rFonts w:eastAsiaTheme="minorEastAsia"/>
                <w:sz w:val="24"/>
              </w:rPr>
            </w:pPr>
            <w:r>
              <w:rPr>
                <w:rFonts w:hint="eastAsia" w:eastAsiaTheme="minorEastAsia"/>
                <w:sz w:val="24"/>
              </w:rPr>
              <w:t>申报单位</w:t>
            </w:r>
            <w:r>
              <w:rPr>
                <w:rFonts w:eastAsiaTheme="minorEastAsia"/>
                <w:sz w:val="24"/>
              </w:rPr>
              <w:t>高度重视专利成果的转化，积极通过</w:t>
            </w:r>
            <w:r>
              <w:rPr>
                <w:rFonts w:eastAsiaTheme="minorEastAsia"/>
                <w:b/>
                <w:bCs/>
                <w:sz w:val="24"/>
              </w:rPr>
              <w:t>自行实施</w:t>
            </w:r>
            <w:r>
              <w:rPr>
                <w:rFonts w:hint="eastAsia" w:eastAsiaTheme="minorEastAsia"/>
                <w:b/>
                <w:bCs/>
                <w:sz w:val="24"/>
              </w:rPr>
              <w:t>和</w:t>
            </w:r>
            <w:r>
              <w:rPr>
                <w:rFonts w:eastAsiaTheme="minorEastAsia"/>
                <w:b/>
                <w:bCs/>
                <w:sz w:val="24"/>
              </w:rPr>
              <w:t>专利标准化</w:t>
            </w:r>
            <w:r>
              <w:rPr>
                <w:rFonts w:eastAsiaTheme="minorEastAsia"/>
                <w:sz w:val="24"/>
              </w:rPr>
              <w:t>实现专利价值</w:t>
            </w:r>
            <w:r>
              <w:rPr>
                <w:rFonts w:hint="eastAsia" w:eastAsiaTheme="minorEastAsia"/>
                <w:sz w:val="24"/>
              </w:rPr>
              <w:t>，</w:t>
            </w:r>
            <w:r>
              <w:rPr>
                <w:rFonts w:eastAsiaTheme="minorEastAsia"/>
                <w:sz w:val="24"/>
              </w:rPr>
              <w:t>实现产业链的合作共赢，</w:t>
            </w:r>
            <w:r>
              <w:rPr>
                <w:rFonts w:hint="eastAsia" w:eastAsiaTheme="minorEastAsia"/>
                <w:sz w:val="24"/>
              </w:rPr>
              <w:t>产生了显著的经济和社会效益</w:t>
            </w:r>
            <w:r>
              <w:rPr>
                <w:rFonts w:eastAsiaTheme="minorEastAsia"/>
                <w:sz w:val="24"/>
              </w:rPr>
              <w:t>。</w:t>
            </w:r>
          </w:p>
          <w:p>
            <w:pPr>
              <w:pStyle w:val="16"/>
              <w:numPr>
                <w:ilvl w:val="0"/>
                <w:numId w:val="1"/>
              </w:numPr>
              <w:spacing w:line="360" w:lineRule="auto"/>
              <w:ind w:firstLineChars="0"/>
              <w:rPr>
                <w:rFonts w:eastAsiaTheme="minorEastAsia"/>
                <w:b/>
                <w:bCs/>
                <w:sz w:val="24"/>
              </w:rPr>
            </w:pPr>
            <w:r>
              <w:rPr>
                <w:rFonts w:eastAsiaTheme="minorEastAsia"/>
                <w:b/>
                <w:bCs/>
                <w:sz w:val="24"/>
              </w:rPr>
              <w:t>成果转化自主实施，</w:t>
            </w:r>
            <w:r>
              <w:rPr>
                <w:rFonts w:hint="eastAsia" w:eastAsiaTheme="minorEastAsia"/>
                <w:b/>
                <w:bCs/>
                <w:sz w:val="24"/>
              </w:rPr>
              <w:t>制定企业标准进行实施，</w:t>
            </w:r>
            <w:r>
              <w:rPr>
                <w:rFonts w:eastAsiaTheme="minorEastAsia"/>
                <w:b/>
                <w:bCs/>
                <w:sz w:val="24"/>
              </w:rPr>
              <w:t>成效显著</w:t>
            </w:r>
          </w:p>
          <w:p>
            <w:pPr>
              <w:spacing w:line="360" w:lineRule="auto"/>
              <w:ind w:firstLine="480" w:firstLineChars="200"/>
              <w:rPr>
                <w:rFonts w:eastAsiaTheme="minorEastAsia"/>
                <w:sz w:val="24"/>
              </w:rPr>
            </w:pPr>
            <w:r>
              <w:rPr>
                <w:rFonts w:hint="eastAsia" w:eastAsiaTheme="minorEastAsia"/>
                <w:sz w:val="24"/>
              </w:rPr>
              <w:t>基于本</w:t>
            </w:r>
            <w:r>
              <w:rPr>
                <w:rFonts w:eastAsiaTheme="minorEastAsia"/>
                <w:sz w:val="24"/>
              </w:rPr>
              <w:t>专利技术研制</w:t>
            </w:r>
            <w:r>
              <w:rPr>
                <w:rFonts w:hint="eastAsia" w:eastAsiaTheme="minorEastAsia"/>
                <w:sz w:val="24"/>
              </w:rPr>
              <w:t>的</w:t>
            </w:r>
            <w:r>
              <w:rPr>
                <w:rFonts w:eastAsiaTheme="minorEastAsia"/>
                <w:sz w:val="24"/>
              </w:rPr>
              <w:t>系列产品</w:t>
            </w:r>
            <w:r>
              <w:rPr>
                <w:rFonts w:hint="eastAsia" w:eastAsiaTheme="minorEastAsia"/>
                <w:sz w:val="24"/>
              </w:rPr>
              <w:t>已制定</w:t>
            </w:r>
            <w:r>
              <w:rPr>
                <w:rFonts w:hint="eastAsia" w:eastAsiaTheme="minorEastAsia"/>
                <w:b/>
                <w:bCs/>
                <w:sz w:val="24"/>
              </w:rPr>
              <w:t>7项企业标准</w:t>
            </w:r>
            <w:r>
              <w:rPr>
                <w:rFonts w:hint="eastAsia" w:eastAsiaTheme="minorEastAsia"/>
                <w:sz w:val="24"/>
              </w:rPr>
              <w:t>，并</w:t>
            </w:r>
            <w:r>
              <w:rPr>
                <w:rFonts w:eastAsiaTheme="minorEastAsia"/>
                <w:sz w:val="24"/>
              </w:rPr>
              <w:t>推广应用覆盖国家能源集团，中煤能源集团、山东能源集团等50余个重点煤炭集团，超过</w:t>
            </w:r>
            <w:r>
              <w:rPr>
                <w:rFonts w:eastAsiaTheme="minorEastAsia"/>
                <w:b/>
                <w:bCs/>
                <w:sz w:val="24"/>
              </w:rPr>
              <w:t>1200余座煤矿</w:t>
            </w:r>
            <w:r>
              <w:rPr>
                <w:rFonts w:eastAsiaTheme="minorEastAsia"/>
                <w:sz w:val="24"/>
              </w:rPr>
              <w:t>应用，2019至2020年累计</w:t>
            </w:r>
            <w:r>
              <w:rPr>
                <w:rFonts w:eastAsiaTheme="minorEastAsia"/>
                <w:b/>
                <w:bCs/>
                <w:sz w:val="24"/>
              </w:rPr>
              <w:t>1</w:t>
            </w:r>
            <w:r>
              <w:rPr>
                <w:rFonts w:hint="eastAsia" w:eastAsiaTheme="minorEastAsia"/>
                <w:b/>
                <w:bCs/>
                <w:sz w:val="24"/>
              </w:rPr>
              <w:t>4987</w:t>
            </w:r>
            <w:r>
              <w:rPr>
                <w:rFonts w:eastAsiaTheme="minorEastAsia"/>
                <w:b/>
                <w:bCs/>
                <w:sz w:val="24"/>
              </w:rPr>
              <w:t>台</w:t>
            </w:r>
            <w:r>
              <w:rPr>
                <w:rFonts w:eastAsiaTheme="minorEastAsia"/>
                <w:sz w:val="24"/>
              </w:rPr>
              <w:t>套数推广应用</w:t>
            </w:r>
            <w:r>
              <w:rPr>
                <w:rFonts w:hint="eastAsia" w:eastAsiaTheme="minorEastAsia"/>
                <w:sz w:val="24"/>
              </w:rPr>
              <w:t>。</w:t>
            </w:r>
          </w:p>
          <w:p>
            <w:pPr>
              <w:spacing w:line="360" w:lineRule="auto"/>
              <w:ind w:firstLine="480" w:firstLineChars="200"/>
              <w:rPr>
                <w:rFonts w:eastAsiaTheme="minorEastAsia"/>
                <w:b/>
                <w:bCs/>
                <w:sz w:val="24"/>
              </w:rPr>
            </w:pPr>
            <w:r>
              <w:rPr>
                <w:rFonts w:eastAsiaTheme="minorEastAsia"/>
                <w:sz w:val="24"/>
              </w:rPr>
              <w:t>现场应用效果表明，与超声涡街法、风轮法等风（量）速类传感器相比，采用差压检测技术检测</w:t>
            </w:r>
            <w:r>
              <w:rPr>
                <w:sz w:val="24"/>
              </w:rPr>
              <w:t>风（流）速</w:t>
            </w:r>
            <w:r>
              <w:rPr>
                <w:rFonts w:eastAsiaTheme="minorEastAsia"/>
                <w:sz w:val="24"/>
              </w:rPr>
              <w:t>，具有测量精度高、调校周期长、使用寿命长、不受环境中粉尘湿度影响等优点。特别是采用本专利技术“双向风速、风向测量的检测装置及检测方法（ZL201310360611.2）”，技术方案国内独家，传感器内置自动清零组件，可实现差压零点的智能自动校准功能，从而保证了传感器的长期工作稳定性。以本专利为基础，在差压零点校准技术研究方面，采用专利技术的“双向风速、风向测量的检测装置及检测方法（ZL201310360611.2）”实现微差压元件零点的实时智能自动校准，使（0～40）℃范围内零点变化量小于0.1Pa，具有卓越的重复性，风速测量下限0.1m/s,精度±0.1m/s；在环境适应性技术研究方面，采用专利技术的“风速、风向检测装置的防堵引压探头（ZL201310359091.3）”实现粉尘、水汽自适应过滤，传感器具有优异的环境适应能力，提高了传感器工作稳定性，降低了人员维护工作量，已被广泛应用于我国新一代煤矿安全监控系统和全矿井瓦斯抽采监测系统，取得了显著的经济效益。现场应用效果显著，得到了矿方的高度认可。</w:t>
            </w:r>
          </w:p>
          <w:p>
            <w:pPr>
              <w:pStyle w:val="16"/>
              <w:numPr>
                <w:ilvl w:val="0"/>
                <w:numId w:val="1"/>
              </w:numPr>
              <w:spacing w:line="360" w:lineRule="auto"/>
              <w:ind w:firstLineChars="0"/>
              <w:rPr>
                <w:rFonts w:eastAsiaTheme="minorEastAsia"/>
                <w:b/>
                <w:bCs/>
                <w:sz w:val="24"/>
              </w:rPr>
            </w:pPr>
            <w:r>
              <w:rPr>
                <w:rFonts w:hint="eastAsia" w:eastAsiaTheme="minorEastAsia"/>
                <w:b/>
                <w:bCs/>
                <w:sz w:val="24"/>
              </w:rPr>
              <w:t>引领</w:t>
            </w:r>
            <w:r>
              <w:rPr>
                <w:rFonts w:eastAsiaTheme="minorEastAsia"/>
                <w:b/>
                <w:bCs/>
                <w:sz w:val="24"/>
              </w:rPr>
              <w:t>行业</w:t>
            </w:r>
            <w:r>
              <w:rPr>
                <w:rFonts w:hint="eastAsia" w:eastAsiaTheme="minorEastAsia"/>
                <w:b/>
                <w:bCs/>
                <w:sz w:val="24"/>
              </w:rPr>
              <w:t>技术</w:t>
            </w:r>
            <w:r>
              <w:rPr>
                <w:rFonts w:eastAsiaTheme="minorEastAsia"/>
                <w:b/>
                <w:bCs/>
                <w:sz w:val="24"/>
              </w:rPr>
              <w:t>进步</w:t>
            </w:r>
            <w:r>
              <w:rPr>
                <w:rFonts w:hint="eastAsia" w:eastAsiaTheme="minorEastAsia"/>
                <w:b/>
                <w:bCs/>
                <w:sz w:val="24"/>
              </w:rPr>
              <w:t>，促进国家、</w:t>
            </w:r>
            <w:r>
              <w:rPr>
                <w:rFonts w:eastAsiaTheme="minorEastAsia"/>
                <w:b/>
                <w:bCs/>
                <w:sz w:val="24"/>
              </w:rPr>
              <w:t>行业标准</w:t>
            </w:r>
            <w:r>
              <w:rPr>
                <w:rFonts w:hint="eastAsia" w:eastAsiaTheme="minorEastAsia"/>
                <w:b/>
                <w:bCs/>
                <w:sz w:val="24"/>
              </w:rPr>
              <w:t>的发布</w:t>
            </w:r>
          </w:p>
          <w:p>
            <w:pPr>
              <w:spacing w:line="360" w:lineRule="auto"/>
              <w:ind w:firstLine="480"/>
              <w:rPr>
                <w:rFonts w:eastAsiaTheme="minorEastAsia"/>
                <w:sz w:val="24"/>
              </w:rPr>
            </w:pPr>
            <w:r>
              <w:rPr>
                <w:rFonts w:hint="eastAsia" w:eastAsiaTheme="minorEastAsia"/>
                <w:sz w:val="24"/>
              </w:rPr>
              <w:t>本专利技术引领了行业技术水平的发展，促进了《煤矿安全规程》2016年版、AQ 1029-2019《煤矿安全监控系统及检测仪器使用管理规范》、GBT 34069-2017 《物联网总体技术 智能传感器特性与分类》等</w:t>
            </w:r>
            <w:r>
              <w:rPr>
                <w:rFonts w:eastAsiaTheme="minorEastAsia"/>
                <w:b/>
                <w:bCs/>
                <w:sz w:val="24"/>
              </w:rPr>
              <w:t>6</w:t>
            </w:r>
            <w:r>
              <w:rPr>
                <w:rFonts w:hint="eastAsia" w:eastAsiaTheme="minorEastAsia"/>
                <w:b/>
                <w:bCs/>
                <w:sz w:val="24"/>
              </w:rPr>
              <w:t>项国家、行业标准</w:t>
            </w:r>
            <w:r>
              <w:rPr>
                <w:rFonts w:hint="eastAsia" w:eastAsiaTheme="minorEastAsia"/>
                <w:sz w:val="24"/>
              </w:rPr>
              <w:t>的发布。</w:t>
            </w:r>
          </w:p>
          <w:p>
            <w:pPr>
              <w:spacing w:line="360" w:lineRule="auto"/>
              <w:ind w:firstLine="482" w:firstLineChars="200"/>
              <w:rPr>
                <w:rFonts w:eastAsia="仿宋_GB2312"/>
                <w:bCs/>
                <w:color w:val="000000" w:themeColor="text1"/>
                <w:sz w:val="24"/>
                <w14:textFill>
                  <w14:solidFill>
                    <w14:schemeClr w14:val="tx1"/>
                  </w14:solidFill>
                </w14:textFill>
              </w:rPr>
            </w:pPr>
            <w:r>
              <w:rPr>
                <w:rFonts w:hint="eastAsia" w:ascii="仿宋_GB2312" w:eastAsia="仿宋_GB2312"/>
                <w:b/>
                <w:sz w:val="24"/>
              </w:rPr>
              <w:t>（二）专利保护：</w:t>
            </w:r>
            <w:r>
              <w:rPr>
                <w:rFonts w:eastAsia="仿宋_GB2312"/>
                <w:bCs/>
                <w:color w:val="000000" w:themeColor="text1"/>
                <w:sz w:val="24"/>
                <w14:textFill>
                  <w14:solidFill>
                    <w14:schemeClr w14:val="tx1"/>
                  </w14:solidFill>
                </w14:textFill>
              </w:rPr>
              <w:t xml:space="preserve"> </w:t>
            </w:r>
          </w:p>
          <w:p>
            <w:pPr>
              <w:spacing w:line="288" w:lineRule="auto"/>
              <w:ind w:firstLine="480" w:firstLineChars="200"/>
              <w:rPr>
                <w:rFonts w:eastAsia="黑体"/>
                <w:bCs/>
                <w:color w:val="000000"/>
                <w:sz w:val="24"/>
              </w:rPr>
            </w:pPr>
            <w:r>
              <w:rPr>
                <w:rFonts w:eastAsia="黑体"/>
                <w:bCs/>
                <w:color w:val="000000"/>
                <w:sz w:val="24"/>
              </w:rPr>
              <w:t>1.建立专利侵权动态监控机制</w:t>
            </w:r>
          </w:p>
          <w:p>
            <w:pPr>
              <w:spacing w:line="360" w:lineRule="auto"/>
              <w:ind w:firstLine="480" w:firstLineChars="200"/>
              <w:rPr>
                <w:rFonts w:eastAsiaTheme="minorEastAsia"/>
                <w:sz w:val="24"/>
              </w:rPr>
            </w:pPr>
            <w:r>
              <w:rPr>
                <w:rFonts w:eastAsiaTheme="minorEastAsia"/>
                <w:sz w:val="24"/>
              </w:rPr>
              <w:t>通过收集与分析相关技术领域内企业的专利申请、授权等专利信息和科技、贸易、政策等宏观信息，由此制定了企业的相关对策。</w:t>
            </w:r>
          </w:p>
          <w:p>
            <w:pPr>
              <w:spacing w:before="156" w:beforeLines="50" w:line="288" w:lineRule="auto"/>
              <w:ind w:firstLine="480" w:firstLineChars="200"/>
              <w:rPr>
                <w:rFonts w:eastAsia="黑体"/>
                <w:bCs/>
                <w:color w:val="000000"/>
                <w:sz w:val="24"/>
              </w:rPr>
            </w:pPr>
            <w:r>
              <w:rPr>
                <w:rFonts w:eastAsia="黑体"/>
                <w:bCs/>
                <w:color w:val="000000"/>
                <w:sz w:val="24"/>
              </w:rPr>
              <w:t>2.构建了技术与设备专利组合</w:t>
            </w:r>
          </w:p>
          <w:p>
            <w:pPr>
              <w:spacing w:line="360" w:lineRule="auto"/>
              <w:ind w:firstLine="480" w:firstLineChars="200"/>
              <w:rPr>
                <w:rFonts w:eastAsiaTheme="minorEastAsia"/>
                <w:sz w:val="24"/>
              </w:rPr>
            </w:pPr>
            <w:r>
              <w:rPr>
                <w:rFonts w:eastAsiaTheme="minorEastAsia"/>
                <w:sz w:val="24"/>
              </w:rPr>
              <w:t>本专利通过专利保护要点的权利要求，已完全覆盖风速检测方法、取压件结构工艺设计、防尘防水技术、数据处理算法方面的专利保护，覆盖整个风（流）速检测方法全流程，涵盖了煤矿行业领域内井下巷道风速测量、风筒流速（量）测量、管道流速（量）测量等领域，为专利保护奠定了基础，主要包括以下方面：</w:t>
            </w:r>
          </w:p>
          <w:p>
            <w:pPr>
              <w:spacing w:line="360" w:lineRule="auto"/>
              <w:ind w:firstLine="480" w:firstLineChars="200"/>
              <w:rPr>
                <w:rFonts w:eastAsiaTheme="minorEastAsia"/>
              </w:rPr>
            </w:pPr>
            <w:r>
              <w:rPr>
                <w:rFonts w:eastAsiaTheme="minorEastAsia"/>
                <w:sz w:val="24"/>
              </w:rPr>
              <w:t>（1）“双向风速、风向测量的检测装置及检测方法”发明专利已于2017年2月1日获授权，中煤科工集团重庆研究院有限公司为独立专利权人，受《</w:t>
            </w:r>
            <w:r>
              <w:fldChar w:fldCharType="begin"/>
            </w:r>
            <w:r>
              <w:instrText xml:space="preserve"> HYPERLINK "http://www.gov.cn/flfg/2008-12/28/content_1189755.htm" \t "_blank" </w:instrText>
            </w:r>
            <w:r>
              <w:fldChar w:fldCharType="separate"/>
            </w:r>
            <w:r>
              <w:rPr>
                <w:rFonts w:eastAsiaTheme="minorEastAsia"/>
                <w:sz w:val="24"/>
              </w:rPr>
              <w:t>中华人民共和国专利法</w:t>
            </w:r>
            <w:r>
              <w:rPr>
                <w:rFonts w:eastAsiaTheme="minorEastAsia"/>
                <w:sz w:val="24"/>
              </w:rPr>
              <w:fldChar w:fldCharType="end"/>
            </w:r>
            <w:r>
              <w:rPr>
                <w:rFonts w:eastAsiaTheme="minorEastAsia"/>
                <w:sz w:val="24"/>
              </w:rPr>
              <w:t>》保护，对任何非法侵权行为，中煤科工集团重庆研究院有限公司将依据《</w:t>
            </w:r>
            <w:r>
              <w:fldChar w:fldCharType="begin"/>
            </w:r>
            <w:r>
              <w:instrText xml:space="preserve"> HYPERLINK "http://www.gov.cn/flfg/2008-12/28/content_1189755.htm" \t "_blank" </w:instrText>
            </w:r>
            <w:r>
              <w:fldChar w:fldCharType="separate"/>
            </w:r>
            <w:r>
              <w:rPr>
                <w:rFonts w:eastAsiaTheme="minorEastAsia"/>
                <w:sz w:val="24"/>
              </w:rPr>
              <w:t>中华人民共和国专利法</w:t>
            </w:r>
            <w:r>
              <w:rPr>
                <w:rFonts w:eastAsiaTheme="minorEastAsia"/>
                <w:sz w:val="24"/>
              </w:rPr>
              <w:fldChar w:fldCharType="end"/>
            </w:r>
            <w:r>
              <w:rPr>
                <w:rFonts w:eastAsiaTheme="minorEastAsia"/>
                <w:sz w:val="24"/>
              </w:rPr>
              <w:t>》诉诸法律进行专利保护。本专利许可使用，中煤科工集团重庆研究院有限公司依托该专利技术进行产品的使用管理。依靠广告宣传、专有技术和项目质量扩大市场份额。技术推广过程中的同时搜集竞争对手产品/技术，进行侵权分析，若发现有侵权嫌疑，则提出警告，合理维权，使竞争对手主动退出，进而停止继续侵权。</w:t>
            </w:r>
          </w:p>
          <w:p>
            <w:pPr>
              <w:spacing w:line="360" w:lineRule="auto"/>
              <w:ind w:firstLine="540" w:firstLineChars="225"/>
              <w:rPr>
                <w:rFonts w:eastAsiaTheme="minorEastAsia"/>
                <w:sz w:val="24"/>
              </w:rPr>
            </w:pPr>
            <w:r>
              <w:rPr>
                <w:rFonts w:eastAsiaTheme="minorEastAsia"/>
                <w:sz w:val="24"/>
              </w:rPr>
              <w:t>（2）为了加强专利的管理和保护，公司制定了《关于申请专利的若干规定》、《关于签订专利许可合同的注意事项》等规定，开展对科研和销售人员的培训活动，提高专利的保护意识，发现竞争对手产品/技术侵权后，及时发出警告函，要求对方停止侵权并讨论授权条件，要求对方付权利金，如果对方不同意，则通过行政手段或者司法途径提出告诉，诉求停止侵权、赔偿本专利权人经济损失</w:t>
            </w:r>
            <w:bookmarkStart w:id="2" w:name="baidusnap9"/>
            <w:bookmarkEnd w:id="2"/>
            <w:r>
              <w:rPr>
                <w:rFonts w:eastAsiaTheme="minorEastAsia"/>
                <w:sz w:val="24"/>
              </w:rPr>
              <w:t>。</w:t>
            </w:r>
          </w:p>
          <w:p>
            <w:pPr>
              <w:spacing w:line="360" w:lineRule="auto"/>
              <w:ind w:firstLine="480" w:firstLineChars="200"/>
              <w:rPr>
                <w:rFonts w:eastAsiaTheme="minorEastAsia"/>
              </w:rPr>
            </w:pPr>
            <w:r>
              <w:rPr>
                <w:rFonts w:eastAsiaTheme="minorEastAsia"/>
                <w:sz w:val="24"/>
              </w:rPr>
              <w:t>（3）以本专利为基础，研制的系列产品，技术含量高、竞争优势强，研发之初预期能为企业带来较大利润贡献，主要从产品的重要度、成熟度、原创性和系列性等多因素考虑进行专利群布局。注重防御竞争对手，注重产品关键技术点，对井下</w:t>
            </w:r>
            <w:r>
              <w:rPr>
                <w:sz w:val="24"/>
              </w:rPr>
              <w:t>风（流）速</w:t>
            </w:r>
            <w:r>
              <w:rPr>
                <w:rFonts w:eastAsiaTheme="minorEastAsia"/>
                <w:sz w:val="24"/>
              </w:rPr>
              <w:t>类产品原创设计点进行密集专利部署，构建了完整的专利保护圈，保证对其同类设计的专利控制权，防止其他企业的模仿和规避设计，并注重针对流速类包含的通用技术部署专利，并对各种实现和应用方式、优化方案进行技术优化迭代，为产品抢占制高点进行全方位专利储备。围绕井下</w:t>
            </w:r>
            <w:r>
              <w:rPr>
                <w:sz w:val="24"/>
              </w:rPr>
              <w:t>风（流）速</w:t>
            </w:r>
            <w:r>
              <w:rPr>
                <w:rFonts w:eastAsiaTheme="minorEastAsia"/>
                <w:sz w:val="24"/>
              </w:rPr>
              <w:t>类产品共取得授权专利9项，其中，发明专利5项、实用新型专利3项、外观专利1项，通过实质审查的发明专利5项。分别按照3类核心关键技术点进行专利群申请和保护。</w:t>
            </w:r>
          </w:p>
          <w:p>
            <w:pPr>
              <w:spacing w:line="360" w:lineRule="auto"/>
              <w:ind w:firstLine="540" w:firstLineChars="225"/>
              <w:rPr>
                <w:rFonts w:eastAsiaTheme="minorEastAsia"/>
                <w:sz w:val="24"/>
              </w:rPr>
            </w:pPr>
            <w:r>
              <w:rPr>
                <w:rFonts w:eastAsiaTheme="minorEastAsia"/>
                <w:sz w:val="24"/>
              </w:rPr>
              <w:t>1）风速检测方法类：</w:t>
            </w:r>
          </w:p>
          <w:p>
            <w:pPr>
              <w:spacing w:line="360" w:lineRule="auto"/>
              <w:ind w:firstLine="540" w:firstLineChars="225"/>
              <w:rPr>
                <w:rFonts w:eastAsiaTheme="minorEastAsia"/>
                <w:sz w:val="24"/>
              </w:rPr>
            </w:pPr>
            <w:r>
              <w:rPr>
                <w:rFonts w:eastAsiaTheme="minorEastAsia"/>
                <w:sz w:val="24"/>
              </w:rPr>
              <w:t>包含“双向风速、风向测量的检测装置及检测方法”、“用于风速、风向检测的自动清零模块”、“</w:t>
            </w:r>
            <w:bookmarkStart w:id="3" w:name="_Hlk80798698"/>
            <w:r>
              <w:rPr>
                <w:rFonts w:eastAsiaTheme="minorEastAsia"/>
                <w:sz w:val="24"/>
              </w:rPr>
              <w:t>双向风速、风向监测系统</w:t>
            </w:r>
            <w:bookmarkEnd w:id="3"/>
            <w:r>
              <w:rPr>
                <w:rFonts w:eastAsiaTheme="minorEastAsia"/>
                <w:sz w:val="24"/>
              </w:rPr>
              <w:t>”等3个发明专利。</w:t>
            </w:r>
          </w:p>
          <w:p>
            <w:pPr>
              <w:spacing w:line="360" w:lineRule="auto"/>
              <w:ind w:firstLine="540" w:firstLineChars="225"/>
              <w:rPr>
                <w:rFonts w:eastAsiaTheme="minorEastAsia"/>
                <w:sz w:val="24"/>
              </w:rPr>
            </w:pPr>
            <w:r>
              <w:rPr>
                <w:rFonts w:eastAsiaTheme="minorEastAsia"/>
                <w:sz w:val="24"/>
              </w:rPr>
              <w:t>2）结构工艺设计类：</w:t>
            </w:r>
          </w:p>
          <w:p>
            <w:pPr>
              <w:spacing w:line="360" w:lineRule="auto"/>
              <w:ind w:firstLine="540" w:firstLineChars="225"/>
              <w:rPr>
                <w:rFonts w:eastAsiaTheme="minorEastAsia"/>
                <w:sz w:val="24"/>
              </w:rPr>
            </w:pPr>
            <w:r>
              <w:rPr>
                <w:rFonts w:eastAsiaTheme="minorEastAsia"/>
                <w:sz w:val="24"/>
              </w:rPr>
              <w:t>包含“风速、风向检测装置的防堵引压探头”、“</w:t>
            </w:r>
            <w:bookmarkStart w:id="4" w:name="_Hlk80798736"/>
            <w:r>
              <w:rPr>
                <w:rFonts w:eastAsiaTheme="minorEastAsia"/>
                <w:sz w:val="24"/>
              </w:rPr>
              <w:t>风速、风向引压探头</w:t>
            </w:r>
            <w:bookmarkEnd w:id="4"/>
            <w:r>
              <w:rPr>
                <w:rFonts w:eastAsiaTheme="minorEastAsia"/>
                <w:sz w:val="24"/>
              </w:rPr>
              <w:t>”、“</w:t>
            </w:r>
            <w:bookmarkStart w:id="5" w:name="_Hlk80798753"/>
            <w:r>
              <w:rPr>
                <w:rFonts w:eastAsiaTheme="minorEastAsia"/>
                <w:sz w:val="24"/>
              </w:rPr>
              <w:t>风速风向传感器</w:t>
            </w:r>
            <w:bookmarkEnd w:id="5"/>
            <w:r>
              <w:rPr>
                <w:rFonts w:eastAsiaTheme="minorEastAsia"/>
                <w:sz w:val="24"/>
              </w:rPr>
              <w:t>”等3个发明专利。</w:t>
            </w:r>
          </w:p>
          <w:p>
            <w:pPr>
              <w:spacing w:line="360" w:lineRule="auto"/>
              <w:ind w:firstLine="540" w:firstLineChars="225"/>
              <w:rPr>
                <w:rFonts w:eastAsiaTheme="minorEastAsia"/>
                <w:sz w:val="24"/>
              </w:rPr>
            </w:pPr>
            <w:r>
              <w:rPr>
                <w:rFonts w:eastAsiaTheme="minorEastAsia"/>
                <w:sz w:val="24"/>
              </w:rPr>
              <w:t xml:space="preserve">3）数据处理算法类： </w:t>
            </w:r>
          </w:p>
          <w:p>
            <w:pPr>
              <w:spacing w:line="360" w:lineRule="auto"/>
              <w:ind w:firstLine="540" w:firstLineChars="225"/>
              <w:rPr>
                <w:rFonts w:eastAsiaTheme="minorEastAsia"/>
                <w:sz w:val="24"/>
              </w:rPr>
            </w:pPr>
            <w:r>
              <w:rPr>
                <w:rFonts w:eastAsiaTheme="minorEastAsia"/>
                <w:sz w:val="24"/>
              </w:rPr>
              <w:t>包含“风速测量的差压零点值自动校准的方法及系统”、 “一种降低自校准功耗的高精度风速检测方法”、“</w:t>
            </w:r>
            <w:bookmarkStart w:id="6" w:name="_Hlk80798543"/>
            <w:r>
              <w:rPr>
                <w:rFonts w:eastAsiaTheme="minorEastAsia"/>
                <w:sz w:val="24"/>
              </w:rPr>
              <w:t>强电磁环境下的抗干扰滤波算法</w:t>
            </w:r>
            <w:bookmarkEnd w:id="6"/>
            <w:r>
              <w:rPr>
                <w:rFonts w:eastAsiaTheme="minorEastAsia"/>
                <w:sz w:val="24"/>
              </w:rPr>
              <w:t>”、“煤矿用传感器的故障诊断系统及方法”、“一种煤矿井下风速传感器监测准确性判识及原位调校方法”、“巷道风速远程无人化自动测量监测系统及方法”、“3U型巷道断面平均风速监测装置和方法”、“巷道平均风速测量方法”等8个发明专利。</w:t>
            </w:r>
          </w:p>
          <w:p>
            <w:pPr>
              <w:spacing w:line="360" w:lineRule="auto"/>
              <w:ind w:firstLine="480" w:firstLineChars="200"/>
              <w:rPr>
                <w:rFonts w:eastAsiaTheme="minorEastAsia"/>
                <w:bCs/>
                <w:sz w:val="24"/>
              </w:rPr>
            </w:pPr>
            <w:r>
              <w:rPr>
                <w:rFonts w:eastAsiaTheme="minorEastAsia"/>
                <w:sz w:val="24"/>
              </w:rPr>
              <w:t>截止2021年9月24日，该专利成果未被提起无效请求，未发生权属、奖酬纠纷。</w:t>
            </w:r>
          </w:p>
          <w:p>
            <w:pPr>
              <w:spacing w:line="360" w:lineRule="auto"/>
              <w:ind w:firstLine="482" w:firstLineChars="200"/>
              <w:rPr>
                <w:rFonts w:eastAsia="仿宋_GB2312"/>
                <w:color w:val="000000" w:themeColor="text1"/>
                <w:sz w:val="24"/>
                <w14:textFill>
                  <w14:solidFill>
                    <w14:schemeClr w14:val="tx1"/>
                  </w14:solidFill>
                </w14:textFill>
              </w:rPr>
            </w:pPr>
            <w:r>
              <w:rPr>
                <w:rFonts w:eastAsia="仿宋_GB2312"/>
                <w:b/>
                <w:sz w:val="24"/>
              </w:rPr>
              <w:t>（三）制度建设及条件保障和执行情况</w:t>
            </w:r>
            <w:r>
              <w:rPr>
                <w:rFonts w:eastAsia="仿宋_GB2312"/>
                <w:sz w:val="24"/>
              </w:rPr>
              <w:t>：</w:t>
            </w:r>
            <w:r>
              <w:rPr>
                <w:rFonts w:eastAsia="仿宋_GB2312"/>
                <w:color w:val="000000" w:themeColor="text1"/>
                <w:sz w:val="24"/>
                <w14:textFill>
                  <w14:solidFill>
                    <w14:schemeClr w14:val="tx1"/>
                  </w14:solidFill>
                </w14:textFill>
              </w:rPr>
              <w:t xml:space="preserve"> </w:t>
            </w:r>
          </w:p>
          <w:p>
            <w:pPr>
              <w:spacing w:line="360" w:lineRule="auto"/>
              <w:ind w:firstLine="480" w:firstLineChars="200"/>
              <w:rPr>
                <w:rFonts w:eastAsia="黑体"/>
                <w:bCs/>
                <w:color w:val="000000"/>
                <w:sz w:val="24"/>
              </w:rPr>
            </w:pPr>
            <w:r>
              <w:rPr>
                <w:rFonts w:eastAsia="黑体"/>
                <w:bCs/>
                <w:color w:val="000000"/>
                <w:sz w:val="24"/>
              </w:rPr>
              <w:t>1.专利权人在专利运用及保护方面的制度建设情况、条件保障措施和执行情况</w:t>
            </w:r>
          </w:p>
          <w:p>
            <w:pPr>
              <w:spacing w:line="360" w:lineRule="auto"/>
              <w:ind w:firstLine="480" w:firstLineChars="200"/>
              <w:rPr>
                <w:rFonts w:eastAsiaTheme="minorEastAsia"/>
                <w:sz w:val="24"/>
              </w:rPr>
            </w:pPr>
            <w:r>
              <w:rPr>
                <w:rFonts w:eastAsiaTheme="minorEastAsia"/>
                <w:sz w:val="24"/>
              </w:rPr>
              <w:t>建立企业外部网（www.cqccri.com），将企业的专利技术、产品等各项信息公布在互联网上，方便顾客查询和业务办理，同时对员工积极宣传专利保护相关法律法规；建立企业员工严格的专利技术保护协议，保留核心技术秘密，保持行业核心竞争能力</w:t>
            </w:r>
            <w:r>
              <w:rPr>
                <w:rFonts w:hint="eastAsia" w:eastAsiaTheme="minorEastAsia"/>
                <w:sz w:val="24"/>
              </w:rPr>
              <w:t>。</w:t>
            </w:r>
          </w:p>
          <w:p>
            <w:pPr>
              <w:spacing w:before="156" w:beforeLines="50" w:line="360" w:lineRule="auto"/>
              <w:ind w:firstLine="480" w:firstLineChars="200"/>
              <w:rPr>
                <w:rFonts w:eastAsia="黑体"/>
                <w:bCs/>
                <w:color w:val="000000"/>
                <w:sz w:val="24"/>
              </w:rPr>
            </w:pPr>
            <w:r>
              <w:rPr>
                <w:rFonts w:eastAsia="黑体"/>
                <w:bCs/>
                <w:color w:val="000000"/>
                <w:sz w:val="24"/>
              </w:rPr>
              <w:t>2.知识产权管理标准化建设情况</w:t>
            </w:r>
          </w:p>
          <w:p>
            <w:pPr>
              <w:spacing w:line="360" w:lineRule="auto"/>
              <w:ind w:firstLine="480" w:firstLineChars="200"/>
              <w:jc w:val="left"/>
              <w:rPr>
                <w:rFonts w:eastAsiaTheme="minorEastAsia"/>
                <w:sz w:val="24"/>
              </w:rPr>
            </w:pPr>
            <w:r>
              <w:rPr>
                <w:rFonts w:eastAsiaTheme="minorEastAsia"/>
                <w:sz w:val="24"/>
              </w:rPr>
              <w:t>单位内部形成严格的专利申请审批流程，保证专利质量和实质性内容的最大化公开和保护；外部聘请专业的知识产权代理公司，为单位提供专利权、著作权的代理申请服务，便于快速、有效的申请各项知识产权；聘请知识产权局专家对企业员工进行了知识产权方面的培训，增强企业内部人员知识产权保护意识；聘请代理法律业务的律师事务所，便于知识产权保护相关法律诉讼。</w:t>
            </w:r>
          </w:p>
          <w:p>
            <w:pPr>
              <w:spacing w:line="400" w:lineRule="exact"/>
              <w:ind w:firstLine="480" w:firstLineChars="200"/>
              <w:rPr>
                <w:rFonts w:ascii="仿宋_GB2312" w:eastAsia="仿宋_GB2312"/>
                <w:sz w:val="24"/>
              </w:rPr>
            </w:pPr>
            <w:r>
              <w:rPr>
                <w:rFonts w:hint="eastAsia" w:eastAsia="黑体"/>
                <w:bCs/>
                <w:color w:val="000000"/>
                <w:sz w:val="24"/>
              </w:rPr>
              <w:t>3</w:t>
            </w:r>
            <w:r>
              <w:rPr>
                <w:rFonts w:eastAsia="黑体"/>
                <w:bCs/>
                <w:color w:val="000000"/>
                <w:sz w:val="24"/>
              </w:rPr>
              <w:t>.</w:t>
            </w:r>
            <w:r>
              <w:rPr>
                <w:rFonts w:hint="eastAsia" w:eastAsia="黑体"/>
                <w:bCs/>
                <w:color w:val="000000"/>
                <w:sz w:val="24"/>
              </w:rPr>
              <w:t xml:space="preserve"> 当检索到专利被侵权时，公司法务部门积极进行维权，维护本单位的权益。</w:t>
            </w:r>
          </w:p>
        </w:tc>
      </w:tr>
    </w:tbl>
    <w:p>
      <w:pPr>
        <w:jc w:val="center"/>
        <w:rPr>
          <w:rFonts w:eastAsia="方正小标宋简体"/>
          <w:b/>
          <w:sz w:val="44"/>
        </w:rPr>
      </w:pPr>
    </w:p>
    <w:p>
      <w:pPr>
        <w:widowControl/>
        <w:jc w:val="left"/>
        <w:rPr>
          <w:rFonts w:eastAsia="方正小标宋简体"/>
          <w:b/>
          <w:sz w:val="44"/>
        </w:rPr>
      </w:pPr>
      <w:r>
        <w:rPr>
          <w:rFonts w:eastAsia="方正小标宋简体"/>
          <w:b/>
          <w:sz w:val="44"/>
        </w:rPr>
        <w:br w:type="page"/>
      </w:r>
    </w:p>
    <w:p>
      <w:pPr>
        <w:jc w:val="center"/>
        <w:rPr>
          <w:rFonts w:eastAsia="方正小标宋简体"/>
          <w:szCs w:val="21"/>
        </w:rPr>
      </w:pPr>
      <w:r>
        <w:rPr>
          <w:rFonts w:hint="eastAsia" w:eastAsia="方正小标宋简体"/>
          <w:b/>
          <w:sz w:val="44"/>
        </w:rPr>
        <w:t>运用及保护措施和成效评价材料（二）</w:t>
      </w:r>
    </w:p>
    <w:p>
      <w:pPr>
        <w:spacing w:line="360" w:lineRule="auto"/>
        <w:ind w:firstLine="880" w:firstLineChars="200"/>
        <w:rPr>
          <w:rFonts w:eastAsia="方正小标宋简体"/>
          <w:sz w:val="44"/>
        </w:rPr>
      </w:pPr>
    </w:p>
    <w:tbl>
      <w:tblPr>
        <w:tblStyle w:val="8"/>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5"/>
        <w:gridCol w:w="840"/>
        <w:gridCol w:w="1260"/>
        <w:gridCol w:w="1080"/>
        <w:gridCol w:w="659"/>
        <w:gridCol w:w="1247"/>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atLeast"/>
          <w:jc w:val="center"/>
        </w:trPr>
        <w:tc>
          <w:tcPr>
            <w:tcW w:w="9155" w:type="dxa"/>
            <w:gridSpan w:val="7"/>
            <w:vAlign w:val="center"/>
          </w:tcPr>
          <w:p>
            <w:pPr>
              <w:spacing w:line="400" w:lineRule="exact"/>
              <w:rPr>
                <w:rFonts w:ascii="仿宋_GB2312" w:eastAsia="仿宋_GB2312"/>
                <w:sz w:val="24"/>
              </w:rPr>
            </w:pPr>
            <w:r>
              <w:rPr>
                <w:rFonts w:hint="eastAsia" w:ascii="仿宋_GB2312" w:eastAsia="仿宋_GB2312"/>
                <w:b/>
                <w:sz w:val="24"/>
              </w:rPr>
              <w:t>（四）经济效益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9155" w:type="dxa"/>
            <w:gridSpan w:val="7"/>
            <w:vAlign w:val="center"/>
          </w:tcPr>
          <w:p>
            <w:pPr>
              <w:jc w:val="center"/>
              <w:rPr>
                <w:rFonts w:ascii="仿宋_GB2312" w:eastAsia="仿宋_GB2312"/>
                <w:sz w:val="24"/>
              </w:rPr>
            </w:pPr>
            <w:r>
              <w:rPr>
                <w:rFonts w:hint="eastAsia" w:ascii="仿宋_GB2312" w:eastAsia="仿宋_GB2312"/>
                <w:b/>
                <w:sz w:val="24"/>
              </w:rPr>
              <w:t>自行实施情况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2645" w:type="dxa"/>
            <w:tcBorders>
              <w:bottom w:val="single" w:color="auto" w:sz="4" w:space="0"/>
              <w:tl2br w:val="single" w:color="auto" w:sz="4" w:space="0"/>
            </w:tcBorders>
            <w:vAlign w:val="center"/>
          </w:tcPr>
          <w:p>
            <w:pPr>
              <w:spacing w:line="400" w:lineRule="exact"/>
              <w:ind w:firstLine="480" w:firstLineChars="200"/>
              <w:rPr>
                <w:rFonts w:ascii="仿宋_GB2312" w:eastAsia="仿宋_GB2312"/>
                <w:sz w:val="24"/>
              </w:rPr>
            </w:pPr>
            <w:r>
              <w:rPr>
                <w:rFonts w:hint="eastAsia" w:ascii="仿宋_GB2312" w:eastAsia="仿宋_GB2312"/>
                <w:sz w:val="24"/>
              </w:rPr>
              <w:t xml:space="preserve">      时  间</w:t>
            </w:r>
          </w:p>
          <w:p>
            <w:pPr>
              <w:spacing w:line="400" w:lineRule="exact"/>
              <w:rPr>
                <w:rFonts w:ascii="仿宋_GB2312" w:eastAsia="仿宋_GB2312"/>
                <w:sz w:val="24"/>
              </w:rPr>
            </w:pPr>
            <w:r>
              <w:rPr>
                <w:rFonts w:hint="eastAsia" w:ascii="仿宋_GB2312" w:eastAsia="仿宋_GB2312"/>
                <w:sz w:val="24"/>
              </w:rPr>
              <w:t>项  目</w:t>
            </w:r>
          </w:p>
        </w:tc>
        <w:tc>
          <w:tcPr>
            <w:tcW w:w="3180" w:type="dxa"/>
            <w:gridSpan w:val="3"/>
            <w:tcBorders>
              <w:bottom w:val="single" w:color="auto" w:sz="4" w:space="0"/>
            </w:tcBorders>
            <w:vAlign w:val="center"/>
          </w:tcPr>
          <w:p>
            <w:pPr>
              <w:spacing w:line="400" w:lineRule="exact"/>
              <w:jc w:val="center"/>
              <w:rPr>
                <w:rFonts w:ascii="仿宋_GB2312" w:eastAsia="仿宋_GB2312"/>
                <w:sz w:val="24"/>
              </w:rPr>
            </w:pPr>
            <w:r>
              <w:rPr>
                <w:rFonts w:hint="eastAsia" w:ascii="仿宋_GB2312" w:eastAsia="仿宋_GB2312"/>
                <w:sz w:val="24"/>
              </w:rPr>
              <w:t>实施日至</w:t>
            </w:r>
            <w:r>
              <w:rPr>
                <w:rFonts w:ascii="仿宋_GB2312" w:eastAsia="仿宋_GB2312"/>
                <w:sz w:val="24"/>
              </w:rPr>
              <w:t>20</w:t>
            </w:r>
            <w:r>
              <w:rPr>
                <w:rFonts w:hint="eastAsia" w:ascii="仿宋_GB2312" w:eastAsia="仿宋_GB2312"/>
                <w:sz w:val="24"/>
              </w:rPr>
              <w:t>20年底</w:t>
            </w:r>
          </w:p>
        </w:tc>
        <w:tc>
          <w:tcPr>
            <w:tcW w:w="3330" w:type="dxa"/>
            <w:gridSpan w:val="3"/>
            <w:tcBorders>
              <w:bottom w:val="single" w:color="auto" w:sz="4" w:space="0"/>
            </w:tcBorders>
            <w:vAlign w:val="center"/>
          </w:tcPr>
          <w:p>
            <w:pPr>
              <w:spacing w:line="400" w:lineRule="exact"/>
              <w:jc w:val="center"/>
              <w:rPr>
                <w:rFonts w:ascii="仿宋_GB2312" w:eastAsia="仿宋_GB2312"/>
                <w:sz w:val="24"/>
              </w:rPr>
            </w:pPr>
            <w:r>
              <w:rPr>
                <w:rFonts w:hint="eastAsia" w:ascii="仿宋_GB2312" w:eastAsia="仿宋_GB2312"/>
                <w:sz w:val="24"/>
              </w:rPr>
              <w:t>2019年初至2020年底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2645" w:type="dxa"/>
            <w:vAlign w:val="center"/>
          </w:tcPr>
          <w:p>
            <w:pPr>
              <w:spacing w:line="400" w:lineRule="exact"/>
              <w:jc w:val="center"/>
              <w:rPr>
                <w:rFonts w:ascii="仿宋_GB2312" w:eastAsia="仿宋_GB2312"/>
                <w:sz w:val="24"/>
              </w:rPr>
            </w:pPr>
            <w:r>
              <w:rPr>
                <w:rFonts w:hint="eastAsia" w:ascii="仿宋_GB2312" w:eastAsia="仿宋_GB2312"/>
                <w:sz w:val="24"/>
              </w:rPr>
              <w:t>产量</w:t>
            </w:r>
          </w:p>
        </w:tc>
        <w:tc>
          <w:tcPr>
            <w:tcW w:w="3180" w:type="dxa"/>
            <w:gridSpan w:val="3"/>
            <w:vAlign w:val="center"/>
          </w:tcPr>
          <w:p>
            <w:pPr>
              <w:spacing w:line="400" w:lineRule="exact"/>
              <w:jc w:val="center"/>
              <w:rPr>
                <w:rFonts w:eastAsia="仿宋_GB2312"/>
                <w:sz w:val="24"/>
              </w:rPr>
            </w:pPr>
            <w:r>
              <w:rPr>
                <w:rFonts w:eastAsia="仿宋_GB2312"/>
                <w:sz w:val="24"/>
              </w:rPr>
              <w:t>40772台</w:t>
            </w:r>
          </w:p>
        </w:tc>
        <w:tc>
          <w:tcPr>
            <w:tcW w:w="3330" w:type="dxa"/>
            <w:gridSpan w:val="3"/>
            <w:vAlign w:val="center"/>
          </w:tcPr>
          <w:p>
            <w:pPr>
              <w:spacing w:line="400" w:lineRule="exact"/>
              <w:jc w:val="center"/>
              <w:rPr>
                <w:rFonts w:eastAsia="仿宋_GB2312"/>
                <w:sz w:val="24"/>
              </w:rPr>
            </w:pPr>
            <w:r>
              <w:rPr>
                <w:rFonts w:eastAsia="仿宋_GB2312"/>
                <w:sz w:val="24"/>
              </w:rPr>
              <w:t>14987台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2645" w:type="dxa"/>
            <w:vAlign w:val="center"/>
          </w:tcPr>
          <w:p>
            <w:pPr>
              <w:spacing w:line="400" w:lineRule="exact"/>
              <w:jc w:val="center"/>
              <w:rPr>
                <w:rFonts w:ascii="仿宋_GB2312" w:eastAsia="仿宋_GB2312"/>
                <w:sz w:val="24"/>
              </w:rPr>
            </w:pPr>
            <w:r>
              <w:rPr>
                <w:rFonts w:hint="eastAsia" w:ascii="仿宋_GB2312" w:eastAsia="仿宋_GB2312"/>
                <w:sz w:val="24"/>
              </w:rPr>
              <w:t>新增销售额（万元）</w:t>
            </w:r>
          </w:p>
        </w:tc>
        <w:tc>
          <w:tcPr>
            <w:tcW w:w="3180" w:type="dxa"/>
            <w:gridSpan w:val="3"/>
            <w:vAlign w:val="center"/>
          </w:tcPr>
          <w:p>
            <w:pPr>
              <w:spacing w:line="400" w:lineRule="exact"/>
              <w:jc w:val="center"/>
              <w:rPr>
                <w:rFonts w:eastAsia="仿宋_GB2312"/>
                <w:sz w:val="24"/>
              </w:rPr>
            </w:pPr>
            <w:r>
              <w:rPr>
                <w:rFonts w:eastAsia="仿宋_GB2312"/>
                <w:sz w:val="24"/>
              </w:rPr>
              <w:t>24548.2</w:t>
            </w:r>
            <w:r>
              <w:rPr>
                <w:rFonts w:hint="eastAsia" w:eastAsia="仿宋_GB2312"/>
                <w:sz w:val="24"/>
              </w:rPr>
              <w:t>6</w:t>
            </w:r>
          </w:p>
        </w:tc>
        <w:tc>
          <w:tcPr>
            <w:tcW w:w="3330" w:type="dxa"/>
            <w:gridSpan w:val="3"/>
            <w:vAlign w:val="center"/>
          </w:tcPr>
          <w:p>
            <w:pPr>
              <w:spacing w:line="400" w:lineRule="exact"/>
              <w:jc w:val="center"/>
              <w:rPr>
                <w:rFonts w:eastAsia="仿宋_GB2312"/>
                <w:sz w:val="24"/>
              </w:rPr>
            </w:pPr>
            <w:r>
              <w:rPr>
                <w:rFonts w:eastAsia="仿宋_GB2312"/>
                <w:sz w:val="24"/>
              </w:rPr>
              <w:t>10052.77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2645" w:type="dxa"/>
            <w:vAlign w:val="center"/>
          </w:tcPr>
          <w:p>
            <w:pPr>
              <w:spacing w:line="400" w:lineRule="exact"/>
              <w:jc w:val="center"/>
              <w:rPr>
                <w:rFonts w:ascii="仿宋_GB2312" w:eastAsia="仿宋_GB2312"/>
                <w:sz w:val="24"/>
              </w:rPr>
            </w:pPr>
            <w:r>
              <w:rPr>
                <w:rFonts w:hint="eastAsia" w:ascii="仿宋_GB2312" w:eastAsia="仿宋_GB2312"/>
                <w:sz w:val="24"/>
              </w:rPr>
              <w:t>新增利润（万元）</w:t>
            </w:r>
          </w:p>
        </w:tc>
        <w:tc>
          <w:tcPr>
            <w:tcW w:w="3180" w:type="dxa"/>
            <w:gridSpan w:val="3"/>
            <w:vAlign w:val="center"/>
          </w:tcPr>
          <w:p>
            <w:pPr>
              <w:spacing w:line="400" w:lineRule="exact"/>
              <w:jc w:val="center"/>
              <w:rPr>
                <w:rFonts w:eastAsia="仿宋_GB2312"/>
                <w:sz w:val="24"/>
              </w:rPr>
            </w:pPr>
            <w:r>
              <w:rPr>
                <w:rFonts w:eastAsia="仿宋_GB2312"/>
                <w:sz w:val="24"/>
              </w:rPr>
              <w:t>15171.45</w:t>
            </w:r>
          </w:p>
        </w:tc>
        <w:tc>
          <w:tcPr>
            <w:tcW w:w="3330" w:type="dxa"/>
            <w:gridSpan w:val="3"/>
            <w:vAlign w:val="center"/>
          </w:tcPr>
          <w:p>
            <w:pPr>
              <w:spacing w:line="400" w:lineRule="exact"/>
              <w:jc w:val="center"/>
              <w:rPr>
                <w:rFonts w:eastAsia="仿宋_GB2312"/>
                <w:sz w:val="24"/>
              </w:rPr>
            </w:pPr>
            <w:r>
              <w:rPr>
                <w:rFonts w:eastAsia="仿宋_GB2312"/>
                <w:sz w:val="24"/>
              </w:rPr>
              <w:t>6576.9</w:t>
            </w:r>
            <w:r>
              <w:rPr>
                <w:rFonts w:hint="eastAsia" w:eastAsia="仿宋_GB2312"/>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2645" w:type="dxa"/>
            <w:vAlign w:val="center"/>
          </w:tcPr>
          <w:p>
            <w:pPr>
              <w:spacing w:line="400" w:lineRule="exact"/>
              <w:jc w:val="center"/>
              <w:rPr>
                <w:rFonts w:ascii="仿宋_GB2312" w:eastAsia="仿宋_GB2312"/>
                <w:sz w:val="24"/>
              </w:rPr>
            </w:pPr>
            <w:r>
              <w:rPr>
                <w:rFonts w:hint="eastAsia" w:ascii="仿宋_GB2312" w:eastAsia="仿宋_GB2312"/>
                <w:sz w:val="24"/>
              </w:rPr>
              <w:t>新增出口额（万元）</w:t>
            </w:r>
          </w:p>
        </w:tc>
        <w:tc>
          <w:tcPr>
            <w:tcW w:w="3180" w:type="dxa"/>
            <w:gridSpan w:val="3"/>
            <w:vAlign w:val="center"/>
          </w:tcPr>
          <w:p>
            <w:pPr>
              <w:spacing w:line="400" w:lineRule="exact"/>
              <w:jc w:val="center"/>
              <w:rPr>
                <w:rFonts w:eastAsia="仿宋_GB2312"/>
                <w:sz w:val="24"/>
              </w:rPr>
            </w:pPr>
            <w:r>
              <w:rPr>
                <w:rFonts w:eastAsia="仿宋_GB2312"/>
                <w:sz w:val="24"/>
              </w:rPr>
              <w:t>0.00</w:t>
            </w:r>
          </w:p>
        </w:tc>
        <w:tc>
          <w:tcPr>
            <w:tcW w:w="3330" w:type="dxa"/>
            <w:gridSpan w:val="3"/>
            <w:vAlign w:val="center"/>
          </w:tcPr>
          <w:p>
            <w:pPr>
              <w:spacing w:line="400" w:lineRule="exact"/>
              <w:jc w:val="center"/>
              <w:rPr>
                <w:rFonts w:eastAsia="仿宋_GB2312"/>
                <w:sz w:val="24"/>
              </w:rPr>
            </w:pPr>
            <w:r>
              <w:rPr>
                <w:rFonts w:eastAsia="仿宋_GB2312"/>
                <w:sz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7" w:hRule="atLeast"/>
          <w:jc w:val="center"/>
        </w:trPr>
        <w:tc>
          <w:tcPr>
            <w:tcW w:w="9155" w:type="dxa"/>
            <w:gridSpan w:val="7"/>
            <w:tcBorders>
              <w:bottom w:val="single" w:color="auto" w:sz="4" w:space="0"/>
            </w:tcBorders>
          </w:tcPr>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经济效益说明（或列表）：（500字以内）</w:t>
            </w:r>
          </w:p>
          <w:p>
            <w:pPr>
              <w:spacing w:line="360" w:lineRule="auto"/>
              <w:ind w:firstLine="480" w:firstLineChars="200"/>
              <w:rPr>
                <w:rFonts w:eastAsiaTheme="minorEastAsia"/>
                <w:sz w:val="24"/>
              </w:rPr>
            </w:pPr>
            <w:r>
              <w:rPr>
                <w:rFonts w:eastAsiaTheme="minorEastAsia"/>
                <w:sz w:val="24"/>
              </w:rPr>
              <w:t>本专利相关技术及产品自实施日至2020年底已累计</w:t>
            </w:r>
            <w:r>
              <w:rPr>
                <w:rFonts w:eastAsiaTheme="minorEastAsia"/>
                <w:b/>
                <w:bCs/>
                <w:sz w:val="24"/>
              </w:rPr>
              <w:t>生产40772台</w:t>
            </w:r>
            <w:r>
              <w:rPr>
                <w:rFonts w:eastAsiaTheme="minorEastAsia"/>
                <w:sz w:val="24"/>
              </w:rPr>
              <w:t>，实现</w:t>
            </w:r>
            <w:r>
              <w:rPr>
                <w:rFonts w:eastAsiaTheme="minorEastAsia"/>
                <w:b/>
                <w:bCs/>
                <w:sz w:val="24"/>
              </w:rPr>
              <w:t>销售额24548.2562万元</w:t>
            </w:r>
            <w:r>
              <w:rPr>
                <w:rFonts w:eastAsiaTheme="minorEastAsia"/>
                <w:sz w:val="24"/>
              </w:rPr>
              <w:t>，新增</w:t>
            </w:r>
            <w:r>
              <w:rPr>
                <w:rFonts w:eastAsiaTheme="minorEastAsia"/>
                <w:b/>
                <w:bCs/>
                <w:sz w:val="24"/>
              </w:rPr>
              <w:t>利润15171.4525万元</w:t>
            </w:r>
            <w:r>
              <w:rPr>
                <w:rFonts w:eastAsiaTheme="minorEastAsia"/>
                <w:sz w:val="24"/>
              </w:rPr>
              <w:t>。</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（一）计算数据来源</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主要来源于</w:t>
            </w:r>
            <w:r>
              <w:rPr>
                <w:rFonts w:hint="eastAsia" w:asciiTheme="minorEastAsia" w:hAnsiTheme="minorEastAsia" w:eastAsiaTheme="minorEastAsia"/>
                <w:sz w:val="24"/>
              </w:rPr>
              <w:t>中煤科工集团重庆研究院有限公司</w:t>
            </w:r>
            <w:r>
              <w:rPr>
                <w:rFonts w:asciiTheme="minorEastAsia" w:hAnsiTheme="minorEastAsia" w:eastAsiaTheme="minorEastAsia"/>
                <w:sz w:val="24"/>
              </w:rPr>
              <w:t>每年的</w:t>
            </w:r>
            <w:r>
              <w:rPr>
                <w:rFonts w:hint="eastAsia" w:asciiTheme="minorEastAsia" w:hAnsiTheme="minorEastAsia" w:eastAsiaTheme="minorEastAsia"/>
                <w:sz w:val="24"/>
              </w:rPr>
              <w:t>收入毛利分析表。</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（二）计算方法</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新增利润（年度）=</w:t>
            </w:r>
            <w:r>
              <w:rPr>
                <w:rFonts w:asciiTheme="minorEastAsia" w:hAnsiTheme="minorEastAsia" w:eastAsiaTheme="minorEastAsia"/>
                <w:sz w:val="24"/>
              </w:rPr>
              <w:t xml:space="preserve"> </w:t>
            </w:r>
            <w:r>
              <w:rPr>
                <w:rFonts w:hint="eastAsia" w:asciiTheme="minorEastAsia" w:hAnsiTheme="minorEastAsia" w:eastAsiaTheme="minorEastAsia"/>
                <w:sz w:val="24"/>
              </w:rPr>
              <w:t>新增销售额*（1-成本率）</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其中：</w:t>
            </w:r>
            <w:r>
              <w:rPr>
                <w:rFonts w:asciiTheme="minorEastAsia" w:hAnsiTheme="minorEastAsia" w:eastAsiaTheme="minorEastAsia"/>
                <w:sz w:val="24"/>
              </w:rPr>
              <w:t>成本率包括直接材料成本率、期间费用率、</w:t>
            </w:r>
            <w:r>
              <w:rPr>
                <w:rFonts w:hint="eastAsia" w:asciiTheme="minorEastAsia" w:hAnsiTheme="minorEastAsia" w:eastAsiaTheme="minorEastAsia"/>
                <w:sz w:val="24"/>
              </w:rPr>
              <w:t>管理费等。</w:t>
            </w:r>
          </w:p>
          <w:p>
            <w:pPr>
              <w:spacing w:line="360" w:lineRule="auto"/>
              <w:ind w:firstLine="480" w:firstLineChars="200"/>
              <w:rPr>
                <w:rFonts w:ascii="仿宋_GB2312" w:eastAsia="仿宋_GB2312"/>
                <w:sz w:val="24"/>
              </w:rPr>
            </w:pPr>
            <w:r>
              <w:rPr>
                <w:rFonts w:hint="eastAsia" w:ascii="仿宋_GB2312" w:eastAsia="仿宋_GB2312"/>
                <w:color w:val="000000" w:themeColor="text1"/>
                <w:sz w:val="24"/>
                <w14:textFill>
                  <w14:solidFill>
                    <w14:schemeClr w14:val="tx1"/>
                  </w14:solidFill>
                </w14:textFill>
              </w:rPr>
              <w:t>注：应写明经济效益计算过程，并附经济效益证明材料。可提供有资质的会计师事务所出具的参评专利经济效益专项审计报告等作为经济效益相关证明材料。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9155" w:type="dxa"/>
            <w:gridSpan w:val="7"/>
            <w:vAlign w:val="center"/>
          </w:tcPr>
          <w:p>
            <w:pPr>
              <w:jc w:val="center"/>
              <w:rPr>
                <w:rFonts w:ascii="仿宋_GB2312" w:eastAsia="仿宋_GB2312"/>
                <w:sz w:val="24"/>
              </w:rPr>
            </w:pPr>
            <w:r>
              <w:rPr>
                <w:rFonts w:hint="eastAsia" w:ascii="仿宋_GB2312" w:eastAsia="仿宋_GB2312"/>
                <w:b/>
                <w:sz w:val="24"/>
              </w:rPr>
              <w:t>专利许可情况</w:t>
            </w:r>
            <w:r>
              <w:rPr>
                <w:rFonts w:hint="eastAsia" w:ascii="仿宋_GB2312" w:eastAsia="仿宋_GB2312"/>
                <w:sz w:val="24"/>
              </w:rPr>
              <w:t>（可加行）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485" w:type="dxa"/>
            <w:gridSpan w:val="2"/>
            <w:tcBorders>
              <w:bottom w:val="single" w:color="auto" w:sz="4" w:space="0"/>
            </w:tcBorders>
            <w:vAlign w:val="center"/>
          </w:tcPr>
          <w:p>
            <w:pPr>
              <w:spacing w:line="400" w:lineRule="exact"/>
              <w:jc w:val="center"/>
              <w:rPr>
                <w:rFonts w:ascii="仿宋_GB2312" w:eastAsia="仿宋_GB2312"/>
                <w:sz w:val="24"/>
              </w:rPr>
            </w:pPr>
            <w:r>
              <w:rPr>
                <w:rFonts w:hint="eastAsia" w:ascii="仿宋_GB2312" w:eastAsia="仿宋_GB2312"/>
                <w:sz w:val="24"/>
              </w:rPr>
              <w:t>被许可单位</w:t>
            </w:r>
          </w:p>
        </w:tc>
        <w:tc>
          <w:tcPr>
            <w:tcW w:w="1260" w:type="dxa"/>
            <w:tcBorders>
              <w:bottom w:val="single" w:color="auto" w:sz="4" w:space="0"/>
            </w:tcBorders>
            <w:vAlign w:val="center"/>
          </w:tcPr>
          <w:p>
            <w:pPr>
              <w:spacing w:line="400" w:lineRule="exact"/>
              <w:jc w:val="center"/>
              <w:rPr>
                <w:rFonts w:ascii="仿宋_GB2312" w:eastAsia="仿宋_GB2312"/>
                <w:sz w:val="24"/>
              </w:rPr>
            </w:pPr>
            <w:r>
              <w:rPr>
                <w:rFonts w:hint="eastAsia" w:ascii="仿宋_GB2312" w:eastAsia="仿宋_GB2312"/>
                <w:sz w:val="24"/>
              </w:rPr>
              <w:t>许可金额</w:t>
            </w:r>
          </w:p>
          <w:p>
            <w:pPr>
              <w:spacing w:line="400" w:lineRule="exact"/>
              <w:jc w:val="center"/>
              <w:rPr>
                <w:rFonts w:ascii="仿宋_GB2312" w:eastAsia="仿宋_GB2312"/>
                <w:sz w:val="24"/>
              </w:rPr>
            </w:pPr>
            <w:r>
              <w:rPr>
                <w:rFonts w:hint="eastAsia" w:ascii="仿宋_GB2312" w:eastAsia="仿宋_GB2312"/>
                <w:sz w:val="24"/>
              </w:rPr>
              <w:t>（万元）</w:t>
            </w:r>
          </w:p>
        </w:tc>
        <w:tc>
          <w:tcPr>
            <w:tcW w:w="1739" w:type="dxa"/>
            <w:gridSpan w:val="2"/>
            <w:tcBorders>
              <w:bottom w:val="single" w:color="auto" w:sz="4" w:space="0"/>
            </w:tcBorders>
            <w:vAlign w:val="center"/>
          </w:tcPr>
          <w:p>
            <w:pPr>
              <w:spacing w:line="400" w:lineRule="exact"/>
              <w:jc w:val="center"/>
              <w:rPr>
                <w:rFonts w:ascii="仿宋_GB2312" w:eastAsia="仿宋_GB2312"/>
                <w:sz w:val="24"/>
              </w:rPr>
            </w:pPr>
            <w:r>
              <w:rPr>
                <w:rFonts w:hint="eastAsia" w:ascii="仿宋_GB2312" w:eastAsia="仿宋_GB2312"/>
                <w:sz w:val="24"/>
              </w:rPr>
              <w:t>至</w:t>
            </w:r>
            <w:r>
              <w:rPr>
                <w:rFonts w:ascii="仿宋_GB2312" w:eastAsia="仿宋_GB2312"/>
                <w:sz w:val="24"/>
              </w:rPr>
              <w:t>20</w:t>
            </w:r>
            <w:r>
              <w:rPr>
                <w:rFonts w:hint="eastAsia" w:ascii="仿宋_GB2312" w:eastAsia="仿宋_GB2312"/>
                <w:sz w:val="24"/>
              </w:rPr>
              <w:t>20年底许可收入（万元）</w:t>
            </w:r>
          </w:p>
        </w:tc>
        <w:tc>
          <w:tcPr>
            <w:tcW w:w="1247" w:type="dxa"/>
            <w:tcBorders>
              <w:bottom w:val="single" w:color="auto" w:sz="4" w:space="0"/>
            </w:tcBorders>
            <w:vAlign w:val="center"/>
          </w:tcPr>
          <w:p>
            <w:pPr>
              <w:spacing w:line="400" w:lineRule="exact"/>
              <w:jc w:val="center"/>
              <w:rPr>
                <w:rFonts w:ascii="仿宋_GB2312" w:eastAsia="仿宋_GB2312"/>
                <w:b/>
                <w:iCs/>
                <w:sz w:val="24"/>
              </w:rPr>
            </w:pPr>
            <w:r>
              <w:rPr>
                <w:rFonts w:hint="eastAsia" w:ascii="仿宋_GB2312" w:eastAsia="仿宋_GB2312"/>
                <w:sz w:val="24"/>
              </w:rPr>
              <w:t>许可种类</w:t>
            </w:r>
          </w:p>
        </w:tc>
        <w:tc>
          <w:tcPr>
            <w:tcW w:w="1424" w:type="dxa"/>
            <w:tcBorders>
              <w:bottom w:val="single" w:color="auto" w:sz="4" w:space="0"/>
            </w:tcBorders>
            <w:vAlign w:val="center"/>
          </w:tcPr>
          <w:p>
            <w:pPr>
              <w:spacing w:line="400" w:lineRule="exact"/>
              <w:jc w:val="center"/>
              <w:rPr>
                <w:rFonts w:ascii="仿宋_GB2312" w:eastAsia="仿宋_GB2312"/>
                <w:sz w:val="24"/>
              </w:rPr>
            </w:pPr>
            <w:r>
              <w:rPr>
                <w:rFonts w:hint="eastAsia" w:ascii="仿宋_GB2312" w:eastAsia="仿宋_GB2312"/>
                <w:sz w:val="24"/>
              </w:rPr>
              <w:t>是否进行许可合同备案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485" w:type="dxa"/>
            <w:gridSpan w:val="2"/>
            <w:vAlign w:val="center"/>
          </w:tcPr>
          <w:p>
            <w:pPr>
              <w:spacing w:line="400" w:lineRule="exact"/>
              <w:jc w:val="center"/>
              <w:rPr>
                <w:rFonts w:ascii="仿宋_GB2312" w:eastAsia="仿宋_GB2312"/>
                <w:sz w:val="24"/>
              </w:rPr>
            </w:pPr>
            <w:r>
              <w:rPr>
                <w:rFonts w:hint="eastAsia" w:ascii="仿宋_GB2312" w:eastAsia="仿宋_GB2312"/>
                <w:sz w:val="24"/>
              </w:rPr>
              <w:t>中煤科工集团常州研究院有限公司</w:t>
            </w:r>
          </w:p>
        </w:tc>
        <w:tc>
          <w:tcPr>
            <w:tcW w:w="1260" w:type="dxa"/>
            <w:vAlign w:val="center"/>
          </w:tcPr>
          <w:p>
            <w:pPr>
              <w:spacing w:line="400" w:lineRule="exact"/>
              <w:jc w:val="center"/>
              <w:rPr>
                <w:rFonts w:eastAsia="仿宋_GB2312"/>
                <w:sz w:val="24"/>
              </w:rPr>
            </w:pPr>
            <w:r>
              <w:rPr>
                <w:rFonts w:eastAsia="仿宋_GB2312"/>
                <w:sz w:val="24"/>
              </w:rPr>
              <w:t>0</w:t>
            </w:r>
          </w:p>
        </w:tc>
        <w:tc>
          <w:tcPr>
            <w:tcW w:w="1739" w:type="dxa"/>
            <w:gridSpan w:val="2"/>
            <w:vAlign w:val="center"/>
          </w:tcPr>
          <w:p>
            <w:pPr>
              <w:spacing w:line="400" w:lineRule="exact"/>
              <w:jc w:val="center"/>
              <w:rPr>
                <w:rFonts w:eastAsia="仿宋_GB2312"/>
                <w:sz w:val="24"/>
              </w:rPr>
            </w:pPr>
            <w:r>
              <w:rPr>
                <w:rFonts w:eastAsia="仿宋_GB2312"/>
                <w:sz w:val="24"/>
              </w:rPr>
              <w:t>0</w:t>
            </w:r>
          </w:p>
        </w:tc>
        <w:tc>
          <w:tcPr>
            <w:tcW w:w="1247" w:type="dxa"/>
            <w:vAlign w:val="center"/>
          </w:tcPr>
          <w:p>
            <w:pPr>
              <w:spacing w:line="400" w:lineRule="exact"/>
              <w:jc w:val="center"/>
              <w:rPr>
                <w:rFonts w:ascii="仿宋_GB2312" w:eastAsia="仿宋_GB2312"/>
                <w:sz w:val="24"/>
              </w:rPr>
            </w:pPr>
            <w:r>
              <w:rPr>
                <w:rFonts w:hint="eastAsia" w:ascii="仿宋_GB2312" w:eastAsia="仿宋_GB2312"/>
                <w:sz w:val="24"/>
              </w:rPr>
              <w:t>免费</w:t>
            </w:r>
          </w:p>
        </w:tc>
        <w:tc>
          <w:tcPr>
            <w:tcW w:w="1424" w:type="dxa"/>
            <w:vAlign w:val="center"/>
          </w:tcPr>
          <w:p>
            <w:pPr>
              <w:spacing w:line="400" w:lineRule="exact"/>
              <w:jc w:val="center"/>
              <w:rPr>
                <w:rFonts w:ascii="仿宋_GB2312" w:eastAsia="仿宋_GB2312"/>
                <w:sz w:val="24"/>
              </w:rPr>
            </w:pPr>
            <w:r>
              <w:rPr>
                <w:rFonts w:hint="eastAsia" w:ascii="仿宋_GB2312" w:eastAsia="仿宋_GB2312"/>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485" w:type="dxa"/>
            <w:gridSpan w:val="2"/>
            <w:vAlign w:val="center"/>
          </w:tcPr>
          <w:p>
            <w:pPr>
              <w:spacing w:line="400" w:lineRule="exact"/>
              <w:jc w:val="center"/>
              <w:rPr>
                <w:rFonts w:ascii="仿宋_GB2312" w:eastAsia="仿宋_GB2312"/>
                <w:sz w:val="24"/>
              </w:rPr>
            </w:pPr>
            <w:r>
              <w:rPr>
                <w:rFonts w:hint="eastAsia" w:ascii="仿宋_GB2312" w:eastAsia="仿宋_GB2312"/>
                <w:sz w:val="24"/>
              </w:rPr>
              <w:t>煤炭科学技术研究院有限公司</w:t>
            </w:r>
          </w:p>
        </w:tc>
        <w:tc>
          <w:tcPr>
            <w:tcW w:w="1260" w:type="dxa"/>
            <w:vAlign w:val="center"/>
          </w:tcPr>
          <w:p>
            <w:pPr>
              <w:spacing w:line="400" w:lineRule="exact"/>
              <w:jc w:val="center"/>
              <w:rPr>
                <w:rFonts w:eastAsia="仿宋_GB2312"/>
                <w:sz w:val="24"/>
              </w:rPr>
            </w:pPr>
            <w:r>
              <w:rPr>
                <w:rFonts w:eastAsia="仿宋_GB2312"/>
                <w:sz w:val="24"/>
              </w:rPr>
              <w:t>0</w:t>
            </w:r>
          </w:p>
        </w:tc>
        <w:tc>
          <w:tcPr>
            <w:tcW w:w="1739" w:type="dxa"/>
            <w:gridSpan w:val="2"/>
            <w:vAlign w:val="center"/>
          </w:tcPr>
          <w:p>
            <w:pPr>
              <w:spacing w:line="400" w:lineRule="exact"/>
              <w:jc w:val="center"/>
              <w:rPr>
                <w:rFonts w:eastAsia="仿宋_GB2312"/>
                <w:sz w:val="24"/>
              </w:rPr>
            </w:pPr>
            <w:r>
              <w:rPr>
                <w:rFonts w:eastAsia="仿宋_GB2312"/>
                <w:sz w:val="24"/>
              </w:rPr>
              <w:t>0</w:t>
            </w:r>
          </w:p>
        </w:tc>
        <w:tc>
          <w:tcPr>
            <w:tcW w:w="1247" w:type="dxa"/>
            <w:vAlign w:val="center"/>
          </w:tcPr>
          <w:p>
            <w:pPr>
              <w:spacing w:line="400" w:lineRule="exact"/>
              <w:jc w:val="center"/>
              <w:rPr>
                <w:rFonts w:ascii="仿宋_GB2312" w:eastAsia="仿宋_GB2312"/>
                <w:sz w:val="24"/>
              </w:rPr>
            </w:pPr>
            <w:r>
              <w:rPr>
                <w:rFonts w:hint="eastAsia" w:ascii="仿宋_GB2312" w:eastAsia="仿宋_GB2312"/>
                <w:sz w:val="24"/>
              </w:rPr>
              <w:t>免费</w:t>
            </w:r>
          </w:p>
        </w:tc>
        <w:tc>
          <w:tcPr>
            <w:tcW w:w="1424" w:type="dxa"/>
            <w:vAlign w:val="center"/>
          </w:tcPr>
          <w:p>
            <w:pPr>
              <w:spacing w:line="400" w:lineRule="exact"/>
              <w:jc w:val="center"/>
              <w:rPr>
                <w:rFonts w:ascii="仿宋_GB2312" w:eastAsia="仿宋_GB2312"/>
                <w:sz w:val="24"/>
              </w:rPr>
            </w:pPr>
            <w:r>
              <w:rPr>
                <w:rFonts w:hint="eastAsia" w:ascii="仿宋_GB2312" w:eastAsia="仿宋_GB2312"/>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485" w:type="dxa"/>
            <w:gridSpan w:val="2"/>
            <w:vAlign w:val="center"/>
          </w:tcPr>
          <w:p>
            <w:pPr>
              <w:spacing w:line="400" w:lineRule="exact"/>
              <w:jc w:val="center"/>
              <w:rPr>
                <w:rFonts w:ascii="仿宋_GB2312" w:eastAsia="仿宋_GB2312"/>
                <w:sz w:val="24"/>
              </w:rPr>
            </w:pPr>
          </w:p>
        </w:tc>
        <w:tc>
          <w:tcPr>
            <w:tcW w:w="1260" w:type="dxa"/>
            <w:vAlign w:val="center"/>
          </w:tcPr>
          <w:p>
            <w:pPr>
              <w:spacing w:line="400" w:lineRule="exact"/>
              <w:jc w:val="center"/>
              <w:rPr>
                <w:rFonts w:eastAsia="仿宋_GB2312"/>
                <w:sz w:val="24"/>
              </w:rPr>
            </w:pPr>
          </w:p>
        </w:tc>
        <w:tc>
          <w:tcPr>
            <w:tcW w:w="1739" w:type="dxa"/>
            <w:gridSpan w:val="2"/>
            <w:vAlign w:val="center"/>
          </w:tcPr>
          <w:p>
            <w:pPr>
              <w:spacing w:line="400" w:lineRule="exact"/>
              <w:jc w:val="center"/>
              <w:rPr>
                <w:rFonts w:eastAsia="仿宋_GB2312"/>
                <w:sz w:val="24"/>
              </w:rPr>
            </w:pPr>
          </w:p>
        </w:tc>
        <w:tc>
          <w:tcPr>
            <w:tcW w:w="1247" w:type="dxa"/>
            <w:vAlign w:val="center"/>
          </w:tcPr>
          <w:p>
            <w:pPr>
              <w:spacing w:line="400" w:lineRule="exact"/>
              <w:jc w:val="center"/>
              <w:rPr>
                <w:rFonts w:ascii="仿宋_GB2312" w:eastAsia="仿宋_GB2312"/>
                <w:sz w:val="24"/>
              </w:rPr>
            </w:pPr>
          </w:p>
        </w:tc>
        <w:tc>
          <w:tcPr>
            <w:tcW w:w="1424" w:type="dxa"/>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485" w:type="dxa"/>
            <w:gridSpan w:val="2"/>
            <w:vAlign w:val="center"/>
          </w:tcPr>
          <w:p>
            <w:pPr>
              <w:spacing w:line="400" w:lineRule="exact"/>
              <w:jc w:val="center"/>
              <w:rPr>
                <w:rFonts w:ascii="仿宋_GB2312" w:eastAsia="仿宋_GB2312"/>
                <w:sz w:val="24"/>
              </w:rPr>
            </w:pPr>
          </w:p>
        </w:tc>
        <w:tc>
          <w:tcPr>
            <w:tcW w:w="1260" w:type="dxa"/>
            <w:vAlign w:val="center"/>
          </w:tcPr>
          <w:p>
            <w:pPr>
              <w:spacing w:line="400" w:lineRule="exact"/>
              <w:jc w:val="center"/>
              <w:rPr>
                <w:rFonts w:eastAsia="仿宋_GB2312"/>
                <w:sz w:val="24"/>
              </w:rPr>
            </w:pPr>
          </w:p>
        </w:tc>
        <w:tc>
          <w:tcPr>
            <w:tcW w:w="1739" w:type="dxa"/>
            <w:gridSpan w:val="2"/>
            <w:vAlign w:val="center"/>
          </w:tcPr>
          <w:p>
            <w:pPr>
              <w:spacing w:line="400" w:lineRule="exact"/>
              <w:jc w:val="center"/>
              <w:rPr>
                <w:rFonts w:eastAsia="仿宋_GB2312"/>
                <w:sz w:val="24"/>
              </w:rPr>
            </w:pPr>
          </w:p>
        </w:tc>
        <w:tc>
          <w:tcPr>
            <w:tcW w:w="1247" w:type="dxa"/>
            <w:vAlign w:val="center"/>
          </w:tcPr>
          <w:p>
            <w:pPr>
              <w:spacing w:line="400" w:lineRule="exact"/>
              <w:jc w:val="center"/>
              <w:rPr>
                <w:rFonts w:ascii="仿宋_GB2312" w:eastAsia="仿宋_GB2312"/>
                <w:sz w:val="24"/>
              </w:rPr>
            </w:pPr>
          </w:p>
        </w:tc>
        <w:tc>
          <w:tcPr>
            <w:tcW w:w="1424" w:type="dxa"/>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485" w:type="dxa"/>
            <w:gridSpan w:val="2"/>
            <w:vAlign w:val="center"/>
          </w:tcPr>
          <w:p>
            <w:pPr>
              <w:spacing w:line="400" w:lineRule="exact"/>
              <w:jc w:val="center"/>
              <w:rPr>
                <w:rFonts w:ascii="仿宋_GB2312" w:eastAsia="仿宋_GB2312"/>
                <w:sz w:val="24"/>
              </w:rPr>
            </w:pPr>
          </w:p>
        </w:tc>
        <w:tc>
          <w:tcPr>
            <w:tcW w:w="1260" w:type="dxa"/>
            <w:vAlign w:val="center"/>
          </w:tcPr>
          <w:p>
            <w:pPr>
              <w:spacing w:line="400" w:lineRule="exact"/>
              <w:jc w:val="center"/>
              <w:rPr>
                <w:rFonts w:eastAsia="仿宋_GB2312"/>
                <w:sz w:val="24"/>
              </w:rPr>
            </w:pPr>
          </w:p>
        </w:tc>
        <w:tc>
          <w:tcPr>
            <w:tcW w:w="1739" w:type="dxa"/>
            <w:gridSpan w:val="2"/>
            <w:vAlign w:val="center"/>
          </w:tcPr>
          <w:p>
            <w:pPr>
              <w:spacing w:line="400" w:lineRule="exact"/>
              <w:jc w:val="center"/>
              <w:rPr>
                <w:rFonts w:eastAsia="仿宋_GB2312"/>
                <w:sz w:val="24"/>
              </w:rPr>
            </w:pPr>
          </w:p>
        </w:tc>
        <w:tc>
          <w:tcPr>
            <w:tcW w:w="1247" w:type="dxa"/>
            <w:vAlign w:val="center"/>
          </w:tcPr>
          <w:p>
            <w:pPr>
              <w:spacing w:line="400" w:lineRule="exact"/>
              <w:jc w:val="center"/>
              <w:rPr>
                <w:rFonts w:ascii="仿宋_GB2312" w:eastAsia="仿宋_GB2312"/>
                <w:sz w:val="24"/>
              </w:rPr>
            </w:pPr>
          </w:p>
        </w:tc>
        <w:tc>
          <w:tcPr>
            <w:tcW w:w="1424" w:type="dxa"/>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485" w:type="dxa"/>
            <w:gridSpan w:val="2"/>
            <w:vAlign w:val="center"/>
          </w:tcPr>
          <w:p>
            <w:pPr>
              <w:spacing w:line="400" w:lineRule="exact"/>
              <w:jc w:val="center"/>
              <w:rPr>
                <w:rFonts w:ascii="仿宋_GB2312" w:eastAsia="仿宋_GB2312"/>
                <w:color w:val="FF0000"/>
                <w:sz w:val="24"/>
              </w:rPr>
            </w:pPr>
            <w:r>
              <w:rPr>
                <w:rFonts w:hint="eastAsia" w:ascii="仿宋_GB2312" w:eastAsia="仿宋_GB2312"/>
                <w:sz w:val="24"/>
              </w:rPr>
              <w:t>许可合计（万元）</w:t>
            </w:r>
          </w:p>
        </w:tc>
        <w:tc>
          <w:tcPr>
            <w:tcW w:w="1260" w:type="dxa"/>
            <w:vAlign w:val="center"/>
          </w:tcPr>
          <w:p>
            <w:pPr>
              <w:spacing w:line="400" w:lineRule="exact"/>
              <w:jc w:val="center"/>
              <w:rPr>
                <w:rFonts w:eastAsia="仿宋_GB2312"/>
                <w:sz w:val="24"/>
              </w:rPr>
            </w:pPr>
            <w:r>
              <w:rPr>
                <w:rFonts w:eastAsia="仿宋_GB2312"/>
                <w:sz w:val="24"/>
              </w:rPr>
              <w:t>0</w:t>
            </w:r>
          </w:p>
        </w:tc>
        <w:tc>
          <w:tcPr>
            <w:tcW w:w="1739" w:type="dxa"/>
            <w:gridSpan w:val="2"/>
            <w:vAlign w:val="center"/>
          </w:tcPr>
          <w:p>
            <w:pPr>
              <w:spacing w:line="400" w:lineRule="exact"/>
              <w:jc w:val="center"/>
              <w:rPr>
                <w:rFonts w:eastAsia="仿宋_GB2312"/>
                <w:sz w:val="24"/>
              </w:rPr>
            </w:pPr>
            <w:r>
              <w:rPr>
                <w:rFonts w:eastAsia="仿宋_GB2312"/>
                <w:sz w:val="24"/>
              </w:rPr>
              <w:t>0</w:t>
            </w:r>
          </w:p>
        </w:tc>
        <w:tc>
          <w:tcPr>
            <w:tcW w:w="1247" w:type="dxa"/>
            <w:vAlign w:val="center"/>
          </w:tcPr>
          <w:p>
            <w:pPr>
              <w:spacing w:line="400" w:lineRule="exact"/>
              <w:jc w:val="center"/>
              <w:rPr>
                <w:rFonts w:ascii="仿宋_GB2312" w:eastAsia="仿宋_GB2312"/>
                <w:sz w:val="24"/>
              </w:rPr>
            </w:pPr>
          </w:p>
        </w:tc>
        <w:tc>
          <w:tcPr>
            <w:tcW w:w="1424" w:type="dxa"/>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9155" w:type="dxa"/>
            <w:gridSpan w:val="7"/>
            <w:vAlign w:val="center"/>
          </w:tcPr>
          <w:p>
            <w:pPr>
              <w:jc w:val="center"/>
              <w:rPr>
                <w:rFonts w:ascii="仿宋_GB2312" w:eastAsia="仿宋_GB2312"/>
                <w:sz w:val="24"/>
              </w:rPr>
            </w:pPr>
            <w:r>
              <w:rPr>
                <w:rFonts w:hint="eastAsia" w:ascii="仿宋_GB2312" w:eastAsia="仿宋_GB2312"/>
                <w:b/>
                <w:sz w:val="24"/>
              </w:rPr>
              <w:t>专利出资情况</w:t>
            </w:r>
            <w:r>
              <w:rPr>
                <w:rFonts w:hint="eastAsia" w:ascii="仿宋_GB2312" w:eastAsia="仿宋_GB2312"/>
                <w:sz w:val="24"/>
              </w:rPr>
              <w:t>（可加行）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tcBorders>
              <w:bottom w:val="single" w:color="auto" w:sz="4" w:space="0"/>
            </w:tcBorders>
            <w:vAlign w:val="center"/>
          </w:tcPr>
          <w:p>
            <w:pPr>
              <w:spacing w:line="400" w:lineRule="exact"/>
              <w:jc w:val="center"/>
              <w:rPr>
                <w:rFonts w:ascii="仿宋_GB2312" w:eastAsia="仿宋_GB2312"/>
                <w:sz w:val="24"/>
              </w:rPr>
            </w:pPr>
            <w:r>
              <w:rPr>
                <w:rFonts w:hint="eastAsia" w:ascii="仿宋_GB2312" w:eastAsia="仿宋_GB2312"/>
                <w:sz w:val="24"/>
              </w:rPr>
              <w:t>单位名称</w:t>
            </w:r>
          </w:p>
        </w:tc>
        <w:tc>
          <w:tcPr>
            <w:tcW w:w="4410" w:type="dxa"/>
            <w:gridSpan w:val="4"/>
            <w:tcBorders>
              <w:bottom w:val="single" w:color="auto" w:sz="4" w:space="0"/>
            </w:tcBorders>
            <w:vAlign w:val="center"/>
          </w:tcPr>
          <w:p>
            <w:pPr>
              <w:spacing w:line="400" w:lineRule="exact"/>
              <w:jc w:val="center"/>
              <w:rPr>
                <w:rFonts w:ascii="仿宋_GB2312" w:eastAsia="仿宋_GB2312"/>
                <w:sz w:val="24"/>
              </w:rPr>
            </w:pPr>
            <w:r>
              <w:rPr>
                <w:rFonts w:hint="eastAsia" w:ascii="仿宋_GB2312" w:eastAsia="仿宋_GB2312"/>
                <w:sz w:val="24"/>
              </w:rPr>
              <w:t>出资金额（万元）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r>
              <w:rPr>
                <w:rFonts w:hint="eastAsia" w:ascii="仿宋_GB2312" w:eastAsia="仿宋_GB2312"/>
                <w:sz w:val="24"/>
              </w:rPr>
              <w:t>出资合计（万元）</w:t>
            </w: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9155" w:type="dxa"/>
            <w:gridSpan w:val="7"/>
            <w:vAlign w:val="center"/>
          </w:tcPr>
          <w:p>
            <w:pPr>
              <w:jc w:val="center"/>
              <w:rPr>
                <w:rFonts w:ascii="仿宋_GB2312" w:eastAsia="仿宋_GB2312"/>
                <w:sz w:val="24"/>
              </w:rPr>
            </w:pPr>
            <w:r>
              <w:rPr>
                <w:rFonts w:hint="eastAsia" w:ascii="仿宋_GB2312" w:eastAsia="仿宋_GB2312"/>
                <w:b/>
                <w:sz w:val="24"/>
              </w:rPr>
              <w:t>专利融资情况</w:t>
            </w:r>
            <w:r>
              <w:rPr>
                <w:rFonts w:hint="eastAsia" w:ascii="仿宋_GB2312" w:eastAsia="仿宋_GB2312"/>
                <w:sz w:val="24"/>
              </w:rPr>
              <w:t>（可加行）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tcBorders>
              <w:bottom w:val="single" w:color="auto" w:sz="4" w:space="0"/>
            </w:tcBorders>
            <w:vAlign w:val="center"/>
          </w:tcPr>
          <w:p>
            <w:pPr>
              <w:spacing w:line="400" w:lineRule="exact"/>
              <w:jc w:val="center"/>
              <w:rPr>
                <w:rFonts w:ascii="仿宋_GB2312" w:eastAsia="仿宋_GB2312"/>
                <w:sz w:val="24"/>
              </w:rPr>
            </w:pPr>
            <w:r>
              <w:rPr>
                <w:rFonts w:hint="eastAsia" w:ascii="仿宋_GB2312" w:eastAsia="仿宋_GB2312"/>
                <w:sz w:val="24"/>
              </w:rPr>
              <w:t>单位名称</w:t>
            </w:r>
          </w:p>
        </w:tc>
        <w:tc>
          <w:tcPr>
            <w:tcW w:w="4410" w:type="dxa"/>
            <w:gridSpan w:val="4"/>
            <w:tcBorders>
              <w:bottom w:val="single" w:color="auto" w:sz="4" w:space="0"/>
            </w:tcBorders>
            <w:vAlign w:val="center"/>
          </w:tcPr>
          <w:p>
            <w:pPr>
              <w:spacing w:line="400" w:lineRule="exact"/>
              <w:jc w:val="center"/>
              <w:rPr>
                <w:rFonts w:ascii="仿宋_GB2312" w:eastAsia="仿宋_GB2312"/>
                <w:sz w:val="24"/>
              </w:rPr>
            </w:pPr>
            <w:r>
              <w:rPr>
                <w:rFonts w:hint="eastAsia" w:ascii="仿宋_GB2312" w:eastAsia="仿宋_GB2312"/>
                <w:sz w:val="24"/>
              </w:rPr>
              <w:t>融资金额（万元）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r>
              <w:rPr>
                <w:rFonts w:hint="eastAsia" w:ascii="仿宋_GB2312" w:eastAsia="仿宋_GB2312"/>
                <w:sz w:val="24"/>
              </w:rPr>
              <w:t>融资合计（万元）</w:t>
            </w:r>
          </w:p>
        </w:tc>
        <w:tc>
          <w:tcPr>
            <w:tcW w:w="4410" w:type="dxa"/>
            <w:gridSpan w:val="4"/>
            <w:vAlign w:val="center"/>
          </w:tcPr>
          <w:p>
            <w:pPr>
              <w:spacing w:line="400" w:lineRule="exact"/>
              <w:jc w:val="center"/>
              <w:rPr>
                <w:rFonts w:ascii="仿宋_GB2312" w:eastAsia="仿宋_GB2312"/>
                <w:sz w:val="24"/>
              </w:rPr>
            </w:pPr>
          </w:p>
        </w:tc>
      </w:tr>
    </w:tbl>
    <w:p>
      <w:pPr>
        <w:rPr>
          <w:szCs w:val="21"/>
        </w:rPr>
      </w:pPr>
    </w:p>
    <w:p>
      <w:pPr>
        <w:rPr>
          <w:szCs w:val="21"/>
        </w:rPr>
      </w:pPr>
    </w:p>
    <w:p>
      <w:pPr>
        <w:rPr>
          <w:szCs w:val="21"/>
        </w:rPr>
      </w:pPr>
    </w:p>
    <w:p>
      <w:pPr>
        <w:rPr>
          <w:szCs w:val="21"/>
        </w:rPr>
      </w:pPr>
    </w:p>
    <w:p>
      <w:pPr>
        <w:jc w:val="center"/>
        <w:rPr>
          <w:rFonts w:eastAsia="方正小标宋简体"/>
          <w:b/>
          <w:sz w:val="44"/>
        </w:rPr>
      </w:pPr>
      <w:r>
        <w:rPr>
          <w:rFonts w:eastAsia="方正小标宋简体"/>
          <w:b/>
          <w:sz w:val="44"/>
        </w:rPr>
        <w:br w:type="page"/>
      </w:r>
      <w:r>
        <w:rPr>
          <w:rFonts w:hint="eastAsia" w:eastAsia="方正小标宋简体"/>
          <w:b/>
          <w:sz w:val="44"/>
        </w:rPr>
        <w:t>五、社会效益及发展前景评价材料</w:t>
      </w:r>
    </w:p>
    <w:p>
      <w:pPr>
        <w:jc w:val="center"/>
        <w:rPr>
          <w:rFonts w:eastAsia="方正小标宋简体"/>
          <w:b/>
          <w:sz w:val="44"/>
        </w:rPr>
      </w:pPr>
    </w:p>
    <w:tbl>
      <w:tblPr>
        <w:tblStyle w:val="8"/>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3" w:hRule="atLeast"/>
          <w:jc w:val="center"/>
        </w:trPr>
        <w:tc>
          <w:tcPr>
            <w:tcW w:w="9068" w:type="dxa"/>
          </w:tcPr>
          <w:p>
            <w:pPr>
              <w:spacing w:line="360" w:lineRule="auto"/>
              <w:ind w:firstLine="482" w:firstLineChars="200"/>
              <w:rPr>
                <w:rFonts w:ascii="仿宋_GB2312" w:eastAsia="仿宋_GB2312"/>
                <w:color w:val="000000" w:themeColor="text1"/>
                <w:sz w:val="24"/>
                <w14:textFill>
                  <w14:solidFill>
                    <w14:schemeClr w14:val="tx1"/>
                  </w14:solidFill>
                </w14:textFill>
              </w:rPr>
            </w:pPr>
            <w:r>
              <w:rPr>
                <w:rFonts w:hint="eastAsia" w:ascii="仿宋_GB2312" w:eastAsia="仿宋_GB2312"/>
                <w:b/>
                <w:sz w:val="24"/>
              </w:rPr>
              <w:t>（一）社会效益状况</w:t>
            </w:r>
            <w:r>
              <w:rPr>
                <w:rFonts w:hint="eastAsia" w:ascii="仿宋_GB2312" w:eastAsia="仿宋_GB2312"/>
                <w:sz w:val="24"/>
              </w:rPr>
              <w:t>：</w:t>
            </w:r>
            <w:r>
              <w:rPr>
                <w:rFonts w:ascii="仿宋_GB2312" w:eastAsia="仿宋_GB2312"/>
                <w:color w:val="000000" w:themeColor="text1"/>
                <w:sz w:val="24"/>
                <w14:textFill>
                  <w14:solidFill>
                    <w14:schemeClr w14:val="tx1"/>
                  </w14:solidFill>
                </w14:textFill>
              </w:rPr>
              <w:t xml:space="preserve"> </w:t>
            </w:r>
          </w:p>
          <w:p>
            <w:pPr>
              <w:pStyle w:val="16"/>
              <w:numPr>
                <w:ilvl w:val="0"/>
                <w:numId w:val="2"/>
              </w:numPr>
              <w:spacing w:before="156" w:beforeLines="50" w:line="300" w:lineRule="auto"/>
              <w:ind w:firstLineChars="0"/>
              <w:rPr>
                <w:rFonts w:eastAsia="黑体"/>
                <w:sz w:val="24"/>
              </w:rPr>
            </w:pPr>
            <w:r>
              <w:rPr>
                <w:rFonts w:eastAsia="黑体"/>
                <w:sz w:val="24"/>
              </w:rPr>
              <w:t>开创了矿井通风监测水平新高度，保障煤矿安全生产，为人民安定生活和国民经济稳定发展提供能源保障</w:t>
            </w:r>
          </w:p>
          <w:p>
            <w:pPr>
              <w:spacing w:before="156" w:beforeLines="50" w:line="360" w:lineRule="auto"/>
              <w:ind w:firstLine="480" w:firstLineChars="200"/>
              <w:rPr>
                <w:rFonts w:ascii="黑体" w:hAnsi="黑体" w:eastAsia="黑体"/>
                <w:sz w:val="24"/>
              </w:rPr>
            </w:pPr>
            <w:r>
              <w:rPr>
                <w:rFonts w:eastAsiaTheme="minorEastAsia"/>
                <w:sz w:val="24"/>
              </w:rPr>
              <w:t>基于专利技术开发的新一代“双向风速传感器”、“风量传感器”以及“气体流量传感器”等系列产品以其测量下限低、测量准确、可靠性好、环境适应能力强（高湿、高粉尘等恶劣环境）等优势，适应了目前煤矿智能安全监控技术需求，成为行业先进环境风速、气体流速检测技术</w:t>
            </w:r>
            <w:r>
              <w:rPr>
                <w:rFonts w:hint="eastAsia" w:eastAsiaTheme="minorEastAsia"/>
                <w:sz w:val="24"/>
              </w:rPr>
              <w:t>，能保障煤矿安全生产，为人民安定生活和国民经济稳定发展提供能源保障</w:t>
            </w:r>
            <w:r>
              <w:rPr>
                <w:rFonts w:eastAsiaTheme="minorEastAsia"/>
                <w:sz w:val="24"/>
              </w:rPr>
              <w:t>。</w:t>
            </w:r>
          </w:p>
          <w:p>
            <w:pPr>
              <w:pStyle w:val="16"/>
              <w:numPr>
                <w:ilvl w:val="0"/>
                <w:numId w:val="2"/>
              </w:numPr>
              <w:spacing w:line="360" w:lineRule="auto"/>
              <w:ind w:firstLineChars="0"/>
              <w:rPr>
                <w:rFonts w:eastAsia="黑体"/>
                <w:sz w:val="24"/>
              </w:rPr>
            </w:pPr>
            <w:r>
              <w:rPr>
                <w:rFonts w:eastAsia="黑体"/>
                <w:sz w:val="24"/>
              </w:rPr>
              <w:t>改善煤矿职工劳动条件，显著提高劳动效率</w:t>
            </w:r>
          </w:p>
          <w:p>
            <w:pPr>
              <w:spacing w:line="360" w:lineRule="auto"/>
              <w:ind w:firstLine="480" w:firstLineChars="200"/>
              <w:rPr>
                <w:rFonts w:eastAsiaTheme="minorEastAsia"/>
                <w:sz w:val="24"/>
              </w:rPr>
            </w:pPr>
            <w:r>
              <w:rPr>
                <w:rFonts w:eastAsiaTheme="minorEastAsia"/>
                <w:sz w:val="24"/>
              </w:rPr>
              <w:t>通风、瓦斯抽采依旧是排出煤矿井下瓦斯的重要手段，环境风速和管道流速的可靠精测和自动化水平的提高，能显著降低煤矿职工的劳动强度，提高劳动效率。</w:t>
            </w:r>
          </w:p>
          <w:p>
            <w:pPr>
              <w:pStyle w:val="16"/>
              <w:numPr>
                <w:ilvl w:val="0"/>
                <w:numId w:val="2"/>
              </w:numPr>
              <w:spacing w:line="360" w:lineRule="auto"/>
              <w:ind w:firstLineChars="0"/>
              <w:rPr>
                <w:rFonts w:eastAsia="黑体"/>
                <w:sz w:val="24"/>
              </w:rPr>
            </w:pPr>
            <w:r>
              <w:rPr>
                <w:rFonts w:eastAsia="黑体"/>
                <w:sz w:val="24"/>
              </w:rPr>
              <w:t>促进国产高精度微差压元件的发展，实现国产微差压元件全面取代进口</w:t>
            </w:r>
          </w:p>
          <w:p>
            <w:pPr>
              <w:spacing w:line="360" w:lineRule="auto"/>
              <w:ind w:firstLine="480" w:firstLineChars="200"/>
              <w:rPr>
                <w:rFonts w:eastAsiaTheme="minorEastAsia"/>
                <w:sz w:val="24"/>
              </w:rPr>
            </w:pPr>
            <w:r>
              <w:rPr>
                <w:rFonts w:eastAsiaTheme="minorEastAsia"/>
                <w:sz w:val="24"/>
              </w:rPr>
              <w:t>本专利技术应用在国产微差压元件中，可实现零点稳定性达到0.1Pa，性能达到进口元件同等技术水平，打破了国外高端微差压元件的封锁，解决了高精度微差压元件的“卡脖子”问题，实现国产替代。</w:t>
            </w:r>
          </w:p>
          <w:p>
            <w:pPr>
              <w:spacing w:line="360" w:lineRule="auto"/>
              <w:ind w:firstLine="482" w:firstLineChars="200"/>
              <w:rPr>
                <w:rFonts w:eastAsia="仿宋_GB2312"/>
                <w:color w:val="000000" w:themeColor="text1"/>
                <w:sz w:val="24"/>
                <w14:textFill>
                  <w14:solidFill>
                    <w14:schemeClr w14:val="tx1"/>
                  </w14:solidFill>
                </w14:textFill>
              </w:rPr>
            </w:pPr>
            <w:r>
              <w:rPr>
                <w:rFonts w:eastAsia="仿宋_GB2312"/>
                <w:b/>
                <w:sz w:val="24"/>
              </w:rPr>
              <w:t>（二）行业影响力状况</w:t>
            </w:r>
            <w:r>
              <w:rPr>
                <w:rFonts w:eastAsia="仿宋_GB2312"/>
                <w:sz w:val="24"/>
              </w:rPr>
              <w:t>：</w:t>
            </w:r>
            <w:r>
              <w:rPr>
                <w:rFonts w:eastAsia="仿宋_GB2312"/>
                <w:color w:val="000000" w:themeColor="text1"/>
                <w:sz w:val="24"/>
                <w14:textFill>
                  <w14:solidFill>
                    <w14:schemeClr w14:val="tx1"/>
                  </w14:solidFill>
                </w14:textFill>
              </w:rPr>
              <w:t xml:space="preserve"> </w:t>
            </w:r>
          </w:p>
          <w:p>
            <w:pPr>
              <w:spacing w:line="360" w:lineRule="auto"/>
              <w:ind w:firstLine="480" w:firstLineChars="200"/>
              <w:rPr>
                <w:rFonts w:eastAsia="黑体"/>
                <w:sz w:val="24"/>
              </w:rPr>
            </w:pPr>
            <w:r>
              <w:rPr>
                <w:rFonts w:eastAsia="黑体"/>
                <w:sz w:val="24"/>
              </w:rPr>
              <w:t>1.本发明被行业高度认可，促进国家和行业标准的发布</w:t>
            </w:r>
          </w:p>
          <w:p>
            <w:pPr>
              <w:spacing w:line="360" w:lineRule="auto"/>
              <w:ind w:firstLine="480" w:firstLineChars="200"/>
              <w:rPr>
                <w:rFonts w:eastAsiaTheme="minorEastAsia"/>
                <w:sz w:val="24"/>
              </w:rPr>
            </w:pPr>
            <w:r>
              <w:rPr>
                <w:rFonts w:eastAsiaTheme="minorEastAsia"/>
                <w:sz w:val="24"/>
              </w:rPr>
              <w:t>基于本专利技术研制的系列产品已在行业内广泛推广应用，引领了行业技术水平的发展，促进了《煤矿安全规程》2016年版、AQ 1029-2019《煤矿安全监控系统及检测仪器使用管理规范》、GBT 34069-2017 《物联网总体技术 智能传感器特性与分类》等</w:t>
            </w:r>
            <w:r>
              <w:rPr>
                <w:rFonts w:eastAsiaTheme="minorEastAsia"/>
                <w:b/>
                <w:bCs/>
                <w:sz w:val="24"/>
              </w:rPr>
              <w:t>6项国家、行业标准</w:t>
            </w:r>
            <w:r>
              <w:rPr>
                <w:rFonts w:eastAsiaTheme="minorEastAsia"/>
                <w:sz w:val="24"/>
              </w:rPr>
              <w:t>的发布。</w:t>
            </w:r>
          </w:p>
          <w:p>
            <w:pPr>
              <w:spacing w:line="360" w:lineRule="auto"/>
              <w:ind w:firstLine="480" w:firstLineChars="200"/>
              <w:rPr>
                <w:rFonts w:eastAsiaTheme="minorEastAsia"/>
                <w:sz w:val="24"/>
              </w:rPr>
            </w:pPr>
            <w:r>
              <w:rPr>
                <w:rFonts w:eastAsia="黑体"/>
                <w:sz w:val="24"/>
              </w:rPr>
              <w:t>2.获得行业科技进步一等奖</w:t>
            </w:r>
          </w:p>
          <w:p>
            <w:pPr>
              <w:spacing w:line="360" w:lineRule="auto"/>
              <w:ind w:firstLine="480" w:firstLineChars="200"/>
              <w:rPr>
                <w:rFonts w:eastAsiaTheme="minorEastAsia"/>
                <w:color w:val="FF0000"/>
                <w:sz w:val="24"/>
              </w:rPr>
            </w:pPr>
            <w:r>
              <w:rPr>
                <w:rFonts w:eastAsiaTheme="minorEastAsia"/>
                <w:sz w:val="24"/>
              </w:rPr>
              <w:t>以本专利技术为核心的相关成果已获得</w:t>
            </w:r>
            <w:r>
              <w:rPr>
                <w:rFonts w:eastAsiaTheme="minorEastAsia"/>
                <w:kern w:val="0"/>
                <w:sz w:val="24"/>
              </w:rPr>
              <w:t>重庆市科技进步一等奖、中国煤炭工业协会科技进步一等奖及山西省科技进步一等奖等</w:t>
            </w:r>
            <w:r>
              <w:rPr>
                <w:rFonts w:eastAsiaTheme="minorEastAsia"/>
                <w:sz w:val="24"/>
              </w:rPr>
              <w:t>7项省部级奖项。</w:t>
            </w:r>
          </w:p>
          <w:p>
            <w:pPr>
              <w:spacing w:line="360" w:lineRule="auto"/>
              <w:ind w:firstLine="482" w:firstLineChars="200"/>
              <w:rPr>
                <w:rFonts w:eastAsia="仿宋_GB2312"/>
                <w:color w:val="000000" w:themeColor="text1"/>
                <w:sz w:val="24"/>
                <w14:textFill>
                  <w14:solidFill>
                    <w14:schemeClr w14:val="tx1"/>
                  </w14:solidFill>
                </w14:textFill>
              </w:rPr>
            </w:pPr>
            <w:r>
              <w:rPr>
                <w:rFonts w:eastAsia="仿宋_GB2312"/>
                <w:b/>
                <w:sz w:val="24"/>
              </w:rPr>
              <w:t>（三）政策适应性</w:t>
            </w:r>
            <w:r>
              <w:rPr>
                <w:rFonts w:eastAsia="仿宋_GB2312"/>
                <w:sz w:val="24"/>
              </w:rPr>
              <w:t>：</w:t>
            </w:r>
            <w:r>
              <w:rPr>
                <w:rFonts w:eastAsia="仿宋_GB2312"/>
                <w:color w:val="000000" w:themeColor="text1"/>
                <w:sz w:val="24"/>
                <w14:textFill>
                  <w14:solidFill>
                    <w14:schemeClr w14:val="tx1"/>
                  </w14:solidFill>
                </w14:textFill>
              </w:rPr>
              <w:t xml:space="preserve"> </w:t>
            </w:r>
          </w:p>
          <w:p>
            <w:pPr>
              <w:spacing w:line="360" w:lineRule="auto"/>
              <w:ind w:firstLine="480" w:firstLineChars="200"/>
              <w:rPr>
                <w:rFonts w:eastAsia="黑体"/>
                <w:sz w:val="24"/>
              </w:rPr>
            </w:pPr>
            <w:r>
              <w:rPr>
                <w:rFonts w:eastAsia="黑体"/>
                <w:sz w:val="24"/>
              </w:rPr>
              <w:t xml:space="preserve">1.全面提升煤矿安全保障能力 </w:t>
            </w:r>
          </w:p>
          <w:p>
            <w:pPr>
              <w:spacing w:line="360" w:lineRule="auto"/>
              <w:ind w:firstLine="480" w:firstLineChars="200"/>
              <w:rPr>
                <w:rFonts w:ascii="黑体" w:hAnsi="黑体" w:eastAsia="黑体"/>
                <w:sz w:val="24"/>
              </w:rPr>
            </w:pPr>
            <w:r>
              <w:rPr>
                <w:rFonts w:hint="eastAsia" w:eastAsiaTheme="minorEastAsia"/>
                <w:sz w:val="24"/>
              </w:rPr>
              <w:t>直面“矿用智能传感器自校准”难题，实现了差压类风速（量）检测精度智能自动校准，</w:t>
            </w:r>
            <w:r>
              <w:rPr>
                <w:rFonts w:eastAsiaTheme="minorEastAsia"/>
                <w:sz w:val="24"/>
              </w:rPr>
              <w:t>减少了人员下井频次，保障了操作人员的安全</w:t>
            </w:r>
            <w:r>
              <w:rPr>
                <w:rFonts w:hint="eastAsia" w:eastAsiaTheme="minorEastAsia"/>
                <w:sz w:val="24"/>
              </w:rPr>
              <w:t>，响应煤炭工业发展“十三五”规划中“坚持以人为本、生命至上理念，健全安全生产长效机制”</w:t>
            </w:r>
            <w:r>
              <w:rPr>
                <w:rFonts w:hint="eastAsia" w:ascii="黑体" w:hAnsi="黑体" w:eastAsia="黑体"/>
                <w:sz w:val="24"/>
              </w:rPr>
              <w:t>。</w:t>
            </w:r>
          </w:p>
          <w:p>
            <w:pPr>
              <w:spacing w:line="360" w:lineRule="auto"/>
              <w:ind w:firstLine="480" w:firstLineChars="200"/>
              <w:rPr>
                <w:rFonts w:eastAsia="黑体"/>
                <w:sz w:val="24"/>
              </w:rPr>
            </w:pPr>
            <w:r>
              <w:rPr>
                <w:rFonts w:eastAsia="黑体"/>
                <w:sz w:val="24"/>
              </w:rPr>
              <w:t>2.紧密对接高端装备制造，紧扣“中国制造2025”战略方向</w:t>
            </w:r>
            <w:r>
              <w:rPr>
                <w:rFonts w:eastAsiaTheme="minorEastAsia"/>
                <w:sz w:val="24"/>
              </w:rPr>
              <w:t xml:space="preserve"> </w:t>
            </w:r>
          </w:p>
          <w:p>
            <w:pPr>
              <w:spacing w:line="360" w:lineRule="auto"/>
              <w:ind w:firstLine="480" w:firstLineChars="200"/>
              <w:rPr>
                <w:rFonts w:eastAsiaTheme="minorEastAsia"/>
                <w:sz w:val="24"/>
              </w:rPr>
            </w:pPr>
            <w:r>
              <w:rPr>
                <w:rFonts w:eastAsiaTheme="minorEastAsia"/>
                <w:sz w:val="24"/>
              </w:rPr>
              <w:t>专利技术产品达到了国际同等技术水平，完全满足行业对高端元器件的性能要求，产品可制造性水平高，适合未来智能制造的需求，紧扣“中国制造2025”战略方向。</w:t>
            </w:r>
          </w:p>
          <w:p>
            <w:pPr>
              <w:spacing w:line="360" w:lineRule="auto"/>
              <w:ind w:firstLine="480" w:firstLineChars="200"/>
              <w:rPr>
                <w:rFonts w:eastAsiaTheme="minorEastAsia"/>
                <w:sz w:val="24"/>
              </w:rPr>
            </w:pPr>
            <w:r>
              <w:rPr>
                <w:rFonts w:eastAsia="黑体"/>
                <w:sz w:val="24"/>
              </w:rPr>
              <w:t>3.坚持原始创新，开拓创新，积极响应国家“创新驱动发展”全局性战略精神</w:t>
            </w:r>
          </w:p>
          <w:p>
            <w:pPr>
              <w:spacing w:line="360" w:lineRule="auto"/>
              <w:ind w:firstLine="480" w:firstLineChars="200"/>
              <w:rPr>
                <w:rFonts w:eastAsiaTheme="minorEastAsia"/>
                <w:sz w:val="24"/>
              </w:rPr>
            </w:pPr>
            <w:r>
              <w:rPr>
                <w:rFonts w:eastAsiaTheme="minorEastAsia"/>
                <w:sz w:val="24"/>
              </w:rPr>
              <w:t>本专利为基础性专利，属于原始创新，依靠自主设计、研发和发明，解决核心器件受制于进口的“卡脖子”问题，响应“国家创新驱动发展战略纲要”精神，适应未来井下少人、无人化智能矿山建设需求。</w:t>
            </w:r>
          </w:p>
          <w:p>
            <w:pPr>
              <w:spacing w:line="360" w:lineRule="auto"/>
              <w:ind w:firstLine="480" w:firstLineChars="200"/>
              <w:rPr>
                <w:rFonts w:eastAsia="黑体"/>
                <w:sz w:val="24"/>
              </w:rPr>
            </w:pPr>
            <w:r>
              <w:rPr>
                <w:rFonts w:eastAsia="黑体"/>
                <w:sz w:val="24"/>
              </w:rPr>
              <w:t>4.高度契合“碳达峰、碳中和”国家战略</w:t>
            </w:r>
          </w:p>
          <w:p>
            <w:pPr>
              <w:spacing w:line="360" w:lineRule="auto"/>
              <w:ind w:firstLine="480" w:firstLineChars="200"/>
              <w:rPr>
                <w:rFonts w:eastAsiaTheme="minorEastAsia"/>
                <w:sz w:val="24"/>
              </w:rPr>
            </w:pPr>
            <w:r>
              <w:rPr>
                <w:rFonts w:eastAsiaTheme="minorEastAsia"/>
                <w:sz w:val="24"/>
              </w:rPr>
              <w:t>基于本专利核心技术的气体流量计量装备，能为过程排放二氧化碳计量提供重要技术支撑手段，实现碳排放的实时精准监测，与“碳达峰、碳中和”战略高度契合，为国民经济发展和生态文明建设做出了重大贡献</w:t>
            </w:r>
            <w:r>
              <w:t>。</w:t>
            </w:r>
          </w:p>
          <w:p>
            <w:pPr>
              <w:spacing w:line="360" w:lineRule="auto"/>
              <w:ind w:firstLine="480" w:firstLineChars="200"/>
              <w:rPr>
                <w:rFonts w:ascii="仿宋_GB2312" w:eastAsia="仿宋_GB2312"/>
                <w:sz w:val="24"/>
              </w:rPr>
            </w:pPr>
          </w:p>
        </w:tc>
      </w:tr>
    </w:tbl>
    <w:p>
      <w:pPr>
        <w:jc w:val="center"/>
        <w:rPr>
          <w:rFonts w:eastAsia="方正小标宋简体"/>
          <w:b/>
          <w:sz w:val="44"/>
        </w:rPr>
      </w:pPr>
    </w:p>
    <w:p>
      <w:pPr>
        <w:widowControl/>
        <w:jc w:val="left"/>
        <w:rPr>
          <w:rFonts w:eastAsia="方正小标宋简体"/>
          <w:b/>
          <w:sz w:val="44"/>
        </w:rPr>
      </w:pPr>
      <w:r>
        <w:rPr>
          <w:rFonts w:eastAsia="方正小标宋简体"/>
          <w:b/>
          <w:sz w:val="44"/>
        </w:rPr>
        <w:br w:type="page"/>
      </w:r>
    </w:p>
    <w:p>
      <w:pPr>
        <w:jc w:val="center"/>
        <w:rPr>
          <w:rFonts w:eastAsia="方正小标宋简体"/>
          <w:b/>
          <w:sz w:val="44"/>
        </w:rPr>
      </w:pPr>
      <w:r>
        <w:rPr>
          <w:rFonts w:hint="eastAsia" w:eastAsia="方正小标宋简体"/>
          <w:b/>
          <w:sz w:val="44"/>
        </w:rPr>
        <w:t>六、获奖情况</w:t>
      </w:r>
    </w:p>
    <w:p>
      <w:pPr>
        <w:jc w:val="center"/>
        <w:rPr>
          <w:rFonts w:eastAsia="方正小标宋简体"/>
          <w:b/>
          <w:sz w:val="44"/>
        </w:rPr>
      </w:pPr>
    </w:p>
    <w:tbl>
      <w:tblPr>
        <w:tblStyle w:val="8"/>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7" w:hRule="atLeast"/>
          <w:jc w:val="center"/>
        </w:trPr>
        <w:tc>
          <w:tcPr>
            <w:tcW w:w="9068" w:type="dxa"/>
          </w:tcPr>
          <w:p>
            <w:pPr>
              <w:spacing w:line="360" w:lineRule="auto"/>
              <w:ind w:firstLine="482" w:firstLineChars="200"/>
              <w:rPr>
                <w:rFonts w:ascii="仿宋_GB2312" w:eastAsia="仿宋_GB2312"/>
                <w:color w:val="000000" w:themeColor="text1"/>
                <w:sz w:val="24"/>
                <w14:textFill>
                  <w14:solidFill>
                    <w14:schemeClr w14:val="tx1"/>
                  </w14:solidFill>
                </w14:textFill>
              </w:rPr>
            </w:pPr>
            <w:r>
              <w:rPr>
                <w:rFonts w:hint="eastAsia" w:ascii="仿宋_GB2312" w:eastAsia="仿宋_GB2312"/>
                <w:b/>
                <w:sz w:val="24"/>
              </w:rPr>
              <w:t>获奖情况</w:t>
            </w:r>
            <w:r>
              <w:rPr>
                <w:rFonts w:hint="eastAsia" w:ascii="仿宋_GB2312" w:eastAsia="仿宋_GB2312"/>
                <w:sz w:val="24"/>
              </w:rPr>
              <w:t>：</w:t>
            </w:r>
            <w:r>
              <w:rPr>
                <w:rFonts w:ascii="仿宋_GB2312" w:eastAsia="仿宋_GB2312"/>
                <w:color w:val="000000" w:themeColor="text1"/>
                <w:sz w:val="24"/>
                <w14:textFill>
                  <w14:solidFill>
                    <w14:schemeClr w14:val="tx1"/>
                  </w14:solidFill>
                </w14:textFill>
              </w:rPr>
              <w:t xml:space="preserve"> </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该专利技术推广应用后的项目先后获得以下荣誉：</w:t>
            </w:r>
          </w:p>
          <w:p>
            <w:pPr>
              <w:spacing w:before="156" w:beforeLines="50" w:line="360" w:lineRule="auto"/>
              <w:rPr>
                <w:rFonts w:ascii="黑体" w:hAnsi="黑体" w:eastAsia="黑体"/>
                <w:sz w:val="24"/>
              </w:rPr>
            </w:pPr>
            <w:r>
              <w:rPr>
                <w:rFonts w:ascii="黑体" w:hAnsi="黑体" w:eastAsia="黑体"/>
                <w:sz w:val="24"/>
              </w:rPr>
              <w:t>1</w:t>
            </w:r>
            <w:r>
              <w:rPr>
                <w:rFonts w:hint="eastAsia" w:ascii="黑体" w:hAnsi="黑体" w:eastAsia="黑体"/>
                <w:sz w:val="24"/>
              </w:rPr>
              <w:t>.科技奖励</w:t>
            </w:r>
          </w:p>
          <w:tbl>
            <w:tblPr>
              <w:tblStyle w:val="8"/>
              <w:tblW w:w="5000" w:type="pct"/>
              <w:tblInd w:w="0" w:type="dxa"/>
              <w:tblLayout w:type="fixed"/>
              <w:tblCellMar>
                <w:top w:w="0" w:type="dxa"/>
                <w:left w:w="0" w:type="dxa"/>
                <w:bottom w:w="0" w:type="dxa"/>
                <w:right w:w="0" w:type="dxa"/>
              </w:tblCellMar>
            </w:tblPr>
            <w:tblGrid>
              <w:gridCol w:w="732"/>
              <w:gridCol w:w="2840"/>
              <w:gridCol w:w="3408"/>
              <w:gridCol w:w="1871"/>
            </w:tblGrid>
            <w:tr>
              <w:tblPrEx>
                <w:tblCellMar>
                  <w:top w:w="0" w:type="dxa"/>
                  <w:left w:w="0" w:type="dxa"/>
                  <w:bottom w:w="0" w:type="dxa"/>
                  <w:right w:w="0" w:type="dxa"/>
                </w:tblCellMar>
              </w:tblPrEx>
              <w:trPr>
                <w:trHeight w:val="227" w:hRule="atLeast"/>
              </w:trPr>
              <w:tc>
                <w:tcPr>
                  <w:tcW w:w="414"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jc w:val="center"/>
                    <w:rPr>
                      <w:rFonts w:ascii="楷体" w:hAnsi="楷体" w:eastAsia="楷体" w:cs="Arial"/>
                      <w:kern w:val="0"/>
                      <w:szCs w:val="21"/>
                    </w:rPr>
                  </w:pPr>
                  <w:r>
                    <w:rPr>
                      <w:rFonts w:hint="eastAsia" w:ascii="楷体" w:hAnsi="楷体" w:eastAsia="楷体" w:cs="Arial"/>
                      <w:kern w:val="0"/>
                      <w:szCs w:val="21"/>
                    </w:rPr>
                    <w:t>序号</w:t>
                  </w:r>
                </w:p>
              </w:tc>
              <w:tc>
                <w:tcPr>
                  <w:tcW w:w="1604"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jc w:val="center"/>
                    <w:rPr>
                      <w:rFonts w:ascii="楷体" w:hAnsi="楷体" w:eastAsia="楷体" w:cs="Arial"/>
                      <w:kern w:val="0"/>
                      <w:szCs w:val="21"/>
                    </w:rPr>
                  </w:pPr>
                  <w:r>
                    <w:rPr>
                      <w:rFonts w:hint="eastAsia" w:ascii="楷体" w:hAnsi="楷体" w:eastAsia="楷体" w:cs="Arial"/>
                      <w:kern w:val="0"/>
                      <w:szCs w:val="21"/>
                    </w:rPr>
                    <w:t>项目</w:t>
                  </w:r>
                  <w:r>
                    <w:rPr>
                      <w:rFonts w:ascii="楷体" w:hAnsi="楷体" w:eastAsia="楷体" w:cs="Arial"/>
                      <w:kern w:val="0"/>
                      <w:szCs w:val="21"/>
                    </w:rPr>
                    <w:t>名称</w:t>
                  </w:r>
                </w:p>
              </w:tc>
              <w:tc>
                <w:tcPr>
                  <w:tcW w:w="1925"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jc w:val="center"/>
                    <w:rPr>
                      <w:rFonts w:ascii="楷体" w:hAnsi="楷体" w:eastAsia="楷体" w:cs="Arial"/>
                      <w:kern w:val="0"/>
                      <w:szCs w:val="21"/>
                    </w:rPr>
                  </w:pPr>
                  <w:r>
                    <w:rPr>
                      <w:rFonts w:hint="eastAsia" w:ascii="楷体" w:hAnsi="楷体" w:eastAsia="楷体" w:cs="Arial"/>
                      <w:kern w:val="0"/>
                      <w:szCs w:val="21"/>
                    </w:rPr>
                    <w:t>奖励</w:t>
                  </w:r>
                  <w:r>
                    <w:rPr>
                      <w:rFonts w:ascii="楷体" w:hAnsi="楷体" w:eastAsia="楷体" w:cs="Arial"/>
                      <w:kern w:val="0"/>
                      <w:szCs w:val="21"/>
                    </w:rPr>
                    <w:t>名称</w:t>
                  </w:r>
                  <w:r>
                    <w:rPr>
                      <w:rFonts w:hint="eastAsia" w:ascii="楷体" w:hAnsi="楷体" w:eastAsia="楷体" w:cs="Arial"/>
                      <w:kern w:val="0"/>
                      <w:szCs w:val="21"/>
                    </w:rPr>
                    <w:t>及等级</w:t>
                  </w:r>
                </w:p>
              </w:tc>
              <w:tc>
                <w:tcPr>
                  <w:tcW w:w="1057" w:type="pct"/>
                  <w:tcBorders>
                    <w:top w:val="single" w:color="0A3DCC" w:sz="6" w:space="0"/>
                    <w:left w:val="single" w:color="0A3DCC" w:sz="6" w:space="0"/>
                    <w:bottom w:val="single" w:color="0A3DCC" w:sz="6" w:space="0"/>
                    <w:right w:val="single" w:color="0A3DCC" w:sz="6" w:space="0"/>
                  </w:tcBorders>
                  <w:shd w:val="clear" w:color="auto" w:fill="F5F8FC"/>
                  <w:vAlign w:val="center"/>
                </w:tcPr>
                <w:p>
                  <w:pPr>
                    <w:widowControl/>
                    <w:spacing w:line="240" w:lineRule="exact"/>
                    <w:jc w:val="center"/>
                    <w:rPr>
                      <w:rFonts w:ascii="楷体" w:hAnsi="楷体" w:eastAsia="楷体"/>
                      <w:b/>
                      <w:bCs/>
                      <w:kern w:val="0"/>
                      <w:szCs w:val="21"/>
                    </w:rPr>
                  </w:pPr>
                  <w:r>
                    <w:rPr>
                      <w:rFonts w:hint="eastAsia" w:ascii="楷体" w:hAnsi="楷体" w:eastAsia="楷体" w:cs="Arial"/>
                      <w:kern w:val="0"/>
                      <w:szCs w:val="21"/>
                    </w:rPr>
                    <w:t>颁奖单位</w:t>
                  </w:r>
                </w:p>
              </w:tc>
            </w:tr>
            <w:tr>
              <w:tblPrEx>
                <w:tblCellMar>
                  <w:top w:w="0" w:type="dxa"/>
                  <w:left w:w="0" w:type="dxa"/>
                  <w:bottom w:w="0" w:type="dxa"/>
                  <w:right w:w="0" w:type="dxa"/>
                </w:tblCellMar>
              </w:tblPrEx>
              <w:trPr>
                <w:trHeight w:val="227" w:hRule="atLeast"/>
              </w:trPr>
              <w:tc>
                <w:tcPr>
                  <w:tcW w:w="414"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jc w:val="center"/>
                    <w:rPr>
                      <w:rFonts w:ascii="楷体" w:hAnsi="楷体" w:eastAsia="楷体" w:cs="Arial"/>
                      <w:spacing w:val="-12"/>
                      <w:kern w:val="0"/>
                      <w:szCs w:val="21"/>
                    </w:rPr>
                  </w:pPr>
                  <w:r>
                    <w:rPr>
                      <w:rFonts w:hint="eastAsia" w:ascii="楷体" w:hAnsi="楷体" w:eastAsia="楷体" w:cs="Arial"/>
                      <w:spacing w:val="-12"/>
                      <w:kern w:val="0"/>
                      <w:szCs w:val="21"/>
                    </w:rPr>
                    <w:t>1</w:t>
                  </w:r>
                </w:p>
              </w:tc>
              <w:tc>
                <w:tcPr>
                  <w:tcW w:w="1604" w:type="pct"/>
                  <w:tcBorders>
                    <w:top w:val="single" w:color="auto" w:sz="4" w:space="0"/>
                    <w:left w:val="single" w:color="auto" w:sz="4" w:space="0"/>
                    <w:bottom w:val="single" w:color="auto" w:sz="4" w:space="0"/>
                    <w:right w:val="single" w:color="auto" w:sz="4" w:space="0"/>
                  </w:tcBorders>
                  <w:shd w:val="clear" w:color="000000" w:fill="FFFFFF"/>
                  <w:tcMar>
                    <w:top w:w="72" w:type="dxa"/>
                    <w:left w:w="144" w:type="dxa"/>
                    <w:bottom w:w="72" w:type="dxa"/>
                    <w:right w:w="144" w:type="dxa"/>
                  </w:tcMar>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煤矿安全监控系统关键技术研究及应用</w:t>
                  </w:r>
                </w:p>
              </w:tc>
              <w:tc>
                <w:tcPr>
                  <w:tcW w:w="1925" w:type="pct"/>
                  <w:tcBorders>
                    <w:top w:val="single" w:color="auto" w:sz="4" w:space="0"/>
                    <w:left w:val="nil"/>
                    <w:bottom w:val="single" w:color="auto" w:sz="4" w:space="0"/>
                    <w:right w:val="single" w:color="auto" w:sz="4" w:space="0"/>
                  </w:tcBorders>
                  <w:shd w:val="clear" w:color="000000" w:fill="FFFFFF"/>
                  <w:tcMar>
                    <w:top w:w="72" w:type="dxa"/>
                    <w:left w:w="144" w:type="dxa"/>
                    <w:bottom w:w="72" w:type="dxa"/>
                    <w:right w:w="144" w:type="dxa"/>
                  </w:tcMar>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重庆市科学技术奖科技进步一等奖</w:t>
                  </w:r>
                </w:p>
              </w:tc>
              <w:tc>
                <w:tcPr>
                  <w:tcW w:w="1057" w:type="pct"/>
                  <w:tcBorders>
                    <w:top w:val="single" w:color="auto" w:sz="4" w:space="0"/>
                    <w:left w:val="nil"/>
                    <w:bottom w:val="single" w:color="auto" w:sz="4" w:space="0"/>
                    <w:right w:val="single" w:color="auto" w:sz="4" w:space="0"/>
                  </w:tcBorders>
                  <w:shd w:val="clear" w:color="000000" w:fill="FFFFFF"/>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重庆市人民政府</w:t>
                  </w:r>
                </w:p>
              </w:tc>
            </w:tr>
            <w:tr>
              <w:tblPrEx>
                <w:tblCellMar>
                  <w:top w:w="0" w:type="dxa"/>
                  <w:left w:w="0" w:type="dxa"/>
                  <w:bottom w:w="0" w:type="dxa"/>
                  <w:right w:w="0" w:type="dxa"/>
                </w:tblCellMar>
              </w:tblPrEx>
              <w:trPr>
                <w:trHeight w:val="227" w:hRule="atLeast"/>
              </w:trPr>
              <w:tc>
                <w:tcPr>
                  <w:tcW w:w="414" w:type="pct"/>
                  <w:tcBorders>
                    <w:top w:val="single" w:color="0A3DCC" w:sz="6" w:space="0"/>
                    <w:left w:val="single" w:color="0A3DCC" w:sz="6" w:space="0"/>
                    <w:bottom w:val="single" w:color="0A3DCC" w:sz="6" w:space="0"/>
                    <w:right w:val="single" w:color="0A3DCC" w:sz="6" w:space="0"/>
                  </w:tcBorders>
                  <w:shd w:val="clear" w:color="auto" w:fill="E7E8F6"/>
                  <w:tcMar>
                    <w:top w:w="72" w:type="dxa"/>
                    <w:left w:w="144" w:type="dxa"/>
                    <w:bottom w:w="72" w:type="dxa"/>
                    <w:right w:w="144" w:type="dxa"/>
                  </w:tcMar>
                  <w:vAlign w:val="center"/>
                </w:tcPr>
                <w:p>
                  <w:pPr>
                    <w:widowControl/>
                    <w:spacing w:line="240" w:lineRule="exact"/>
                    <w:jc w:val="center"/>
                    <w:rPr>
                      <w:rFonts w:ascii="楷体" w:hAnsi="楷体" w:eastAsia="楷体" w:cs="Arial"/>
                      <w:spacing w:val="-12"/>
                      <w:kern w:val="0"/>
                      <w:szCs w:val="21"/>
                    </w:rPr>
                  </w:pPr>
                  <w:r>
                    <w:rPr>
                      <w:rFonts w:hint="eastAsia" w:ascii="楷体" w:hAnsi="楷体" w:eastAsia="楷体" w:cs="Arial"/>
                      <w:spacing w:val="-12"/>
                      <w:kern w:val="0"/>
                      <w:szCs w:val="21"/>
                    </w:rPr>
                    <w:t>2</w:t>
                  </w:r>
                </w:p>
              </w:tc>
              <w:tc>
                <w:tcPr>
                  <w:tcW w:w="1604" w:type="pct"/>
                  <w:tcBorders>
                    <w:top w:val="single" w:color="auto" w:sz="4" w:space="0"/>
                    <w:left w:val="single" w:color="auto" w:sz="4" w:space="0"/>
                    <w:bottom w:val="single" w:color="auto" w:sz="4" w:space="0"/>
                    <w:right w:val="single" w:color="auto" w:sz="4" w:space="0"/>
                  </w:tcBorders>
                  <w:shd w:val="clear" w:color="000000" w:fill="FFFFFF"/>
                  <w:tcMar>
                    <w:top w:w="72" w:type="dxa"/>
                    <w:left w:w="144" w:type="dxa"/>
                    <w:bottom w:w="72" w:type="dxa"/>
                    <w:right w:w="144" w:type="dxa"/>
                  </w:tcMar>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单一开采煤层条件下采动区瓦斯地面井抽采成套技术</w:t>
                  </w:r>
                </w:p>
              </w:tc>
              <w:tc>
                <w:tcPr>
                  <w:tcW w:w="1925" w:type="pct"/>
                  <w:tcBorders>
                    <w:top w:val="single" w:color="auto" w:sz="4" w:space="0"/>
                    <w:left w:val="nil"/>
                    <w:bottom w:val="single" w:color="auto" w:sz="4" w:space="0"/>
                    <w:right w:val="single" w:color="auto" w:sz="4" w:space="0"/>
                  </w:tcBorders>
                  <w:shd w:val="clear" w:color="000000" w:fill="FFFFFF"/>
                  <w:tcMar>
                    <w:top w:w="72" w:type="dxa"/>
                    <w:left w:w="144" w:type="dxa"/>
                    <w:bottom w:w="72" w:type="dxa"/>
                    <w:right w:w="144" w:type="dxa"/>
                  </w:tcMar>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第六届安全生产科技成果一等奖</w:t>
                  </w:r>
                </w:p>
              </w:tc>
              <w:tc>
                <w:tcPr>
                  <w:tcW w:w="1057" w:type="pct"/>
                  <w:tcBorders>
                    <w:top w:val="single" w:color="auto" w:sz="4" w:space="0"/>
                    <w:left w:val="nil"/>
                    <w:bottom w:val="single" w:color="auto" w:sz="4" w:space="0"/>
                    <w:right w:val="single" w:color="auto" w:sz="4" w:space="0"/>
                  </w:tcBorders>
                  <w:shd w:val="clear" w:color="000000" w:fill="FFFFFF"/>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国家安全生产监督管理总局</w:t>
                  </w:r>
                </w:p>
              </w:tc>
            </w:tr>
            <w:tr>
              <w:tblPrEx>
                <w:tblCellMar>
                  <w:top w:w="0" w:type="dxa"/>
                  <w:left w:w="0" w:type="dxa"/>
                  <w:bottom w:w="0" w:type="dxa"/>
                  <w:right w:w="0" w:type="dxa"/>
                </w:tblCellMar>
              </w:tblPrEx>
              <w:trPr>
                <w:trHeight w:val="227" w:hRule="atLeast"/>
              </w:trPr>
              <w:tc>
                <w:tcPr>
                  <w:tcW w:w="414" w:type="pct"/>
                  <w:tcBorders>
                    <w:top w:val="single" w:color="0A3DCC" w:sz="6" w:space="0"/>
                    <w:left w:val="single" w:color="0A3DCC" w:sz="6" w:space="0"/>
                    <w:bottom w:val="single" w:color="0A3DCC" w:sz="6" w:space="0"/>
                    <w:right w:val="single" w:color="0A3DCC" w:sz="6" w:space="0"/>
                  </w:tcBorders>
                  <w:shd w:val="clear" w:color="auto" w:fill="E9EDF4"/>
                  <w:tcMar>
                    <w:top w:w="72" w:type="dxa"/>
                    <w:left w:w="144" w:type="dxa"/>
                    <w:bottom w:w="72" w:type="dxa"/>
                    <w:right w:w="144" w:type="dxa"/>
                  </w:tcMar>
                  <w:vAlign w:val="center"/>
                </w:tcPr>
                <w:p>
                  <w:pPr>
                    <w:widowControl/>
                    <w:spacing w:line="240" w:lineRule="exact"/>
                    <w:jc w:val="center"/>
                    <w:rPr>
                      <w:rFonts w:ascii="楷体" w:hAnsi="楷体" w:eastAsia="楷体" w:cs="Arial"/>
                      <w:spacing w:val="-12"/>
                      <w:kern w:val="0"/>
                      <w:szCs w:val="21"/>
                    </w:rPr>
                  </w:pPr>
                  <w:r>
                    <w:rPr>
                      <w:rFonts w:hint="eastAsia" w:ascii="楷体" w:hAnsi="楷体" w:eastAsia="楷体" w:cs="Arial"/>
                      <w:spacing w:val="-12"/>
                      <w:kern w:val="0"/>
                      <w:szCs w:val="21"/>
                    </w:rPr>
                    <w:t>3</w:t>
                  </w:r>
                </w:p>
              </w:tc>
              <w:tc>
                <w:tcPr>
                  <w:tcW w:w="1604" w:type="pct"/>
                  <w:tcBorders>
                    <w:top w:val="nil"/>
                    <w:left w:val="single" w:color="auto" w:sz="4" w:space="0"/>
                    <w:bottom w:val="single" w:color="auto" w:sz="4" w:space="0"/>
                    <w:right w:val="single" w:color="auto" w:sz="4" w:space="0"/>
                  </w:tcBorders>
                  <w:shd w:val="clear" w:color="000000" w:fill="F2F2F2"/>
                  <w:tcMar>
                    <w:top w:w="72" w:type="dxa"/>
                    <w:left w:w="144" w:type="dxa"/>
                    <w:bottom w:w="72" w:type="dxa"/>
                    <w:right w:w="144" w:type="dxa"/>
                  </w:tcMar>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单一开采煤层条件下采动区瓦斯地面井抽采成套技术</w:t>
                  </w:r>
                </w:p>
              </w:tc>
              <w:tc>
                <w:tcPr>
                  <w:tcW w:w="1925" w:type="pct"/>
                  <w:tcBorders>
                    <w:top w:val="nil"/>
                    <w:left w:val="nil"/>
                    <w:bottom w:val="single" w:color="auto" w:sz="4" w:space="0"/>
                    <w:right w:val="single" w:color="auto" w:sz="4" w:space="0"/>
                  </w:tcBorders>
                  <w:shd w:val="clear" w:color="000000" w:fill="FFFFFF"/>
                  <w:tcMar>
                    <w:top w:w="72" w:type="dxa"/>
                    <w:left w:w="144" w:type="dxa"/>
                    <w:bottom w:w="72" w:type="dxa"/>
                    <w:right w:w="144" w:type="dxa"/>
                  </w:tcMar>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中国职业安全健康协会一等奖</w:t>
                  </w:r>
                </w:p>
              </w:tc>
              <w:tc>
                <w:tcPr>
                  <w:tcW w:w="1057" w:type="pct"/>
                  <w:tcBorders>
                    <w:top w:val="nil"/>
                    <w:left w:val="nil"/>
                    <w:bottom w:val="single" w:color="auto" w:sz="4" w:space="0"/>
                    <w:right w:val="single" w:color="auto" w:sz="4" w:space="0"/>
                  </w:tcBorders>
                  <w:shd w:val="clear" w:color="000000" w:fill="FFFFFF"/>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中国职业安全健康协会</w:t>
                  </w:r>
                </w:p>
              </w:tc>
            </w:tr>
            <w:tr>
              <w:tblPrEx>
                <w:tblCellMar>
                  <w:top w:w="0" w:type="dxa"/>
                  <w:left w:w="0" w:type="dxa"/>
                  <w:bottom w:w="0" w:type="dxa"/>
                  <w:right w:w="0" w:type="dxa"/>
                </w:tblCellMar>
              </w:tblPrEx>
              <w:trPr>
                <w:trHeight w:val="227" w:hRule="atLeast"/>
              </w:trPr>
              <w:tc>
                <w:tcPr>
                  <w:tcW w:w="414" w:type="pct"/>
                  <w:tcBorders>
                    <w:top w:val="single" w:color="0A3DCC" w:sz="6" w:space="0"/>
                    <w:left w:val="single" w:color="0A3DCC" w:sz="6" w:space="0"/>
                    <w:bottom w:val="single" w:color="0A3DCC" w:sz="6" w:space="0"/>
                    <w:right w:val="single" w:color="0A3DCC" w:sz="6" w:space="0"/>
                  </w:tcBorders>
                  <w:shd w:val="clear" w:color="auto" w:fill="E7E8F6"/>
                  <w:tcMar>
                    <w:top w:w="72" w:type="dxa"/>
                    <w:left w:w="144" w:type="dxa"/>
                    <w:bottom w:w="72" w:type="dxa"/>
                    <w:right w:w="144" w:type="dxa"/>
                  </w:tcMar>
                  <w:vAlign w:val="center"/>
                </w:tcPr>
                <w:p>
                  <w:pPr>
                    <w:widowControl/>
                    <w:spacing w:line="240" w:lineRule="exact"/>
                    <w:jc w:val="center"/>
                    <w:rPr>
                      <w:rFonts w:ascii="楷体" w:hAnsi="楷体" w:eastAsia="楷体" w:cs="Arial"/>
                      <w:spacing w:val="-12"/>
                      <w:kern w:val="0"/>
                      <w:szCs w:val="21"/>
                    </w:rPr>
                  </w:pPr>
                  <w:r>
                    <w:rPr>
                      <w:rFonts w:hint="eastAsia" w:ascii="楷体" w:hAnsi="楷体" w:eastAsia="楷体" w:cs="Arial"/>
                      <w:spacing w:val="-12"/>
                      <w:kern w:val="0"/>
                      <w:szCs w:val="21"/>
                    </w:rPr>
                    <w:t>4</w:t>
                  </w:r>
                </w:p>
              </w:tc>
              <w:tc>
                <w:tcPr>
                  <w:tcW w:w="1604" w:type="pct"/>
                  <w:tcBorders>
                    <w:top w:val="nil"/>
                    <w:left w:val="single" w:color="auto" w:sz="4" w:space="0"/>
                    <w:bottom w:val="single" w:color="auto" w:sz="4" w:space="0"/>
                    <w:right w:val="single" w:color="auto" w:sz="4" w:space="0"/>
                  </w:tcBorders>
                  <w:shd w:val="clear" w:color="auto" w:fill="auto"/>
                  <w:tcMar>
                    <w:top w:w="72" w:type="dxa"/>
                    <w:left w:w="144" w:type="dxa"/>
                    <w:bottom w:w="72" w:type="dxa"/>
                    <w:right w:w="144" w:type="dxa"/>
                  </w:tcMar>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基于瓦斯涌出动态特征指标的突出预警技术研究及应用</w:t>
                  </w:r>
                </w:p>
              </w:tc>
              <w:tc>
                <w:tcPr>
                  <w:tcW w:w="1925" w:type="pct"/>
                  <w:tcBorders>
                    <w:top w:val="nil"/>
                    <w:left w:val="nil"/>
                    <w:bottom w:val="single" w:color="auto" w:sz="4" w:space="0"/>
                    <w:right w:val="single" w:color="auto" w:sz="4" w:space="0"/>
                  </w:tcBorders>
                  <w:shd w:val="clear" w:color="000000" w:fill="FFFFFF"/>
                  <w:tcMar>
                    <w:top w:w="72" w:type="dxa"/>
                    <w:left w:w="144" w:type="dxa"/>
                    <w:bottom w:w="72" w:type="dxa"/>
                    <w:right w:w="144" w:type="dxa"/>
                  </w:tcMar>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中国职业安全健康协会一等奖</w:t>
                  </w:r>
                </w:p>
              </w:tc>
              <w:tc>
                <w:tcPr>
                  <w:tcW w:w="1057" w:type="pct"/>
                  <w:tcBorders>
                    <w:top w:val="nil"/>
                    <w:left w:val="nil"/>
                    <w:bottom w:val="single" w:color="auto" w:sz="4" w:space="0"/>
                    <w:right w:val="single" w:color="auto" w:sz="4" w:space="0"/>
                  </w:tcBorders>
                  <w:shd w:val="clear" w:color="auto" w:fill="auto"/>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中国职业安全健康协会</w:t>
                  </w:r>
                </w:p>
              </w:tc>
            </w:tr>
            <w:tr>
              <w:tblPrEx>
                <w:tblCellMar>
                  <w:top w:w="0" w:type="dxa"/>
                  <w:left w:w="0" w:type="dxa"/>
                  <w:bottom w:w="0" w:type="dxa"/>
                  <w:right w:w="0" w:type="dxa"/>
                </w:tblCellMar>
              </w:tblPrEx>
              <w:trPr>
                <w:trHeight w:val="227" w:hRule="atLeast"/>
              </w:trPr>
              <w:tc>
                <w:tcPr>
                  <w:tcW w:w="414" w:type="pct"/>
                  <w:tcBorders>
                    <w:top w:val="single" w:color="0A3DCC" w:sz="6" w:space="0"/>
                    <w:left w:val="single" w:color="0A3DCC" w:sz="6" w:space="0"/>
                    <w:bottom w:val="single" w:color="0A3DCC" w:sz="6" w:space="0"/>
                    <w:right w:val="single" w:color="0A3DCC" w:sz="6" w:space="0"/>
                  </w:tcBorders>
                  <w:shd w:val="clear" w:color="auto" w:fill="E7E8F6"/>
                  <w:tcMar>
                    <w:top w:w="72" w:type="dxa"/>
                    <w:left w:w="144" w:type="dxa"/>
                    <w:bottom w:w="72" w:type="dxa"/>
                    <w:right w:w="144" w:type="dxa"/>
                  </w:tcMar>
                  <w:vAlign w:val="center"/>
                </w:tcPr>
                <w:p>
                  <w:pPr>
                    <w:widowControl/>
                    <w:spacing w:line="240" w:lineRule="exact"/>
                    <w:jc w:val="center"/>
                    <w:rPr>
                      <w:rFonts w:ascii="楷体" w:hAnsi="楷体" w:eastAsia="楷体" w:cs="Arial"/>
                      <w:spacing w:val="-12"/>
                      <w:kern w:val="0"/>
                      <w:szCs w:val="21"/>
                    </w:rPr>
                  </w:pPr>
                  <w:r>
                    <w:rPr>
                      <w:rFonts w:hint="eastAsia" w:ascii="楷体" w:hAnsi="楷体" w:eastAsia="楷体" w:cs="Arial"/>
                      <w:spacing w:val="-12"/>
                      <w:kern w:val="0"/>
                      <w:szCs w:val="21"/>
                    </w:rPr>
                    <w:t>5</w:t>
                  </w:r>
                </w:p>
              </w:tc>
              <w:tc>
                <w:tcPr>
                  <w:tcW w:w="1604" w:type="pct"/>
                  <w:tcBorders>
                    <w:top w:val="nil"/>
                    <w:left w:val="single" w:color="auto" w:sz="4" w:space="0"/>
                    <w:bottom w:val="single" w:color="auto" w:sz="4" w:space="0"/>
                    <w:right w:val="single" w:color="auto" w:sz="4" w:space="0"/>
                  </w:tcBorders>
                  <w:shd w:val="clear" w:color="auto" w:fill="auto"/>
                  <w:tcMar>
                    <w:top w:w="72" w:type="dxa"/>
                    <w:left w:w="144" w:type="dxa"/>
                    <w:bottom w:w="72" w:type="dxa"/>
                    <w:right w:w="144" w:type="dxa"/>
                  </w:tcMar>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阳泉矿区煤与瓦斯突出综合防治技术研究</w:t>
                  </w:r>
                </w:p>
              </w:tc>
              <w:tc>
                <w:tcPr>
                  <w:tcW w:w="1925" w:type="pct"/>
                  <w:tcBorders>
                    <w:top w:val="nil"/>
                    <w:left w:val="nil"/>
                    <w:bottom w:val="single" w:color="auto" w:sz="4" w:space="0"/>
                    <w:right w:val="single" w:color="auto" w:sz="4" w:space="0"/>
                  </w:tcBorders>
                  <w:shd w:val="clear" w:color="auto" w:fill="auto"/>
                  <w:tcMar>
                    <w:top w:w="72" w:type="dxa"/>
                    <w:left w:w="144" w:type="dxa"/>
                    <w:bottom w:w="72" w:type="dxa"/>
                    <w:right w:w="144" w:type="dxa"/>
                  </w:tcMar>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中国煤炭工业协会科技进步一等奖</w:t>
                  </w:r>
                </w:p>
              </w:tc>
              <w:tc>
                <w:tcPr>
                  <w:tcW w:w="1057" w:type="pct"/>
                  <w:tcBorders>
                    <w:top w:val="nil"/>
                    <w:left w:val="nil"/>
                    <w:bottom w:val="single" w:color="auto" w:sz="4" w:space="0"/>
                    <w:right w:val="single" w:color="auto" w:sz="4" w:space="0"/>
                  </w:tcBorders>
                  <w:shd w:val="clear" w:color="000000" w:fill="FFFFFF"/>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中国煤炭工业协会、中国煤炭学会</w:t>
                  </w:r>
                </w:p>
              </w:tc>
            </w:tr>
            <w:tr>
              <w:tblPrEx>
                <w:tblCellMar>
                  <w:top w:w="0" w:type="dxa"/>
                  <w:left w:w="0" w:type="dxa"/>
                  <w:bottom w:w="0" w:type="dxa"/>
                  <w:right w:w="0" w:type="dxa"/>
                </w:tblCellMar>
              </w:tblPrEx>
              <w:trPr>
                <w:trHeight w:val="227" w:hRule="atLeast"/>
              </w:trPr>
              <w:tc>
                <w:tcPr>
                  <w:tcW w:w="414" w:type="pct"/>
                  <w:tcBorders>
                    <w:top w:val="single" w:color="0A3DCC" w:sz="6" w:space="0"/>
                    <w:left w:val="single" w:color="0A3DCC" w:sz="6" w:space="0"/>
                    <w:bottom w:val="single" w:color="0A3DCC" w:sz="6" w:space="0"/>
                    <w:right w:val="single" w:color="0A3DCC" w:sz="6" w:space="0"/>
                  </w:tcBorders>
                  <w:shd w:val="clear" w:color="auto" w:fill="E7E8F6"/>
                  <w:tcMar>
                    <w:top w:w="72" w:type="dxa"/>
                    <w:left w:w="144" w:type="dxa"/>
                    <w:bottom w:w="72" w:type="dxa"/>
                    <w:right w:w="144" w:type="dxa"/>
                  </w:tcMar>
                  <w:vAlign w:val="center"/>
                </w:tcPr>
                <w:p>
                  <w:pPr>
                    <w:widowControl/>
                    <w:spacing w:line="240" w:lineRule="exact"/>
                    <w:jc w:val="center"/>
                    <w:rPr>
                      <w:rFonts w:ascii="楷体" w:hAnsi="楷体" w:eastAsia="楷体" w:cs="Arial"/>
                      <w:spacing w:val="-12"/>
                      <w:kern w:val="0"/>
                      <w:szCs w:val="21"/>
                    </w:rPr>
                  </w:pPr>
                  <w:r>
                    <w:rPr>
                      <w:rFonts w:hint="eastAsia" w:ascii="楷体" w:hAnsi="楷体" w:eastAsia="楷体" w:cs="Arial"/>
                      <w:spacing w:val="-12"/>
                      <w:kern w:val="0"/>
                      <w:szCs w:val="21"/>
                    </w:rPr>
                    <w:t>6</w:t>
                  </w:r>
                </w:p>
              </w:tc>
              <w:tc>
                <w:tcPr>
                  <w:tcW w:w="1604" w:type="pct"/>
                  <w:tcBorders>
                    <w:top w:val="nil"/>
                    <w:left w:val="single" w:color="auto" w:sz="4" w:space="0"/>
                    <w:bottom w:val="single" w:color="auto" w:sz="4" w:space="0"/>
                    <w:right w:val="single" w:color="auto" w:sz="4" w:space="0"/>
                  </w:tcBorders>
                  <w:shd w:val="clear" w:color="000000" w:fill="F2F2F2"/>
                  <w:tcMar>
                    <w:top w:w="72" w:type="dxa"/>
                    <w:left w:w="144" w:type="dxa"/>
                    <w:bottom w:w="72" w:type="dxa"/>
                    <w:right w:w="144" w:type="dxa"/>
                  </w:tcMar>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采动区煤层气地面抽采井优化设计技术及应用</w:t>
                  </w:r>
                </w:p>
              </w:tc>
              <w:tc>
                <w:tcPr>
                  <w:tcW w:w="1925" w:type="pct"/>
                  <w:tcBorders>
                    <w:top w:val="nil"/>
                    <w:left w:val="nil"/>
                    <w:bottom w:val="single" w:color="auto" w:sz="4" w:space="0"/>
                    <w:right w:val="single" w:color="auto" w:sz="4" w:space="0"/>
                  </w:tcBorders>
                  <w:shd w:val="clear" w:color="000000" w:fill="F2F2F2"/>
                  <w:tcMar>
                    <w:top w:w="72" w:type="dxa"/>
                    <w:left w:w="144" w:type="dxa"/>
                    <w:bottom w:w="72" w:type="dxa"/>
                    <w:right w:w="144" w:type="dxa"/>
                  </w:tcMar>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2015年度山西省科技进步奖一等奖</w:t>
                  </w:r>
                </w:p>
              </w:tc>
              <w:tc>
                <w:tcPr>
                  <w:tcW w:w="1057" w:type="pct"/>
                  <w:tcBorders>
                    <w:top w:val="nil"/>
                    <w:left w:val="nil"/>
                    <w:bottom w:val="single" w:color="auto" w:sz="4" w:space="0"/>
                    <w:right w:val="single" w:color="auto" w:sz="4" w:space="0"/>
                  </w:tcBorders>
                  <w:shd w:val="clear" w:color="000000" w:fill="F2F2F2"/>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山西省科学技术厅</w:t>
                  </w:r>
                </w:p>
              </w:tc>
            </w:tr>
            <w:tr>
              <w:tblPrEx>
                <w:tblCellMar>
                  <w:top w:w="0" w:type="dxa"/>
                  <w:left w:w="0" w:type="dxa"/>
                  <w:bottom w:w="0" w:type="dxa"/>
                  <w:right w:w="0" w:type="dxa"/>
                </w:tblCellMar>
              </w:tblPrEx>
              <w:trPr>
                <w:trHeight w:val="227" w:hRule="atLeast"/>
              </w:trPr>
              <w:tc>
                <w:tcPr>
                  <w:tcW w:w="414" w:type="pct"/>
                  <w:tcBorders>
                    <w:top w:val="single" w:color="0A3DCC" w:sz="6" w:space="0"/>
                    <w:left w:val="single" w:color="0A3DCC" w:sz="6" w:space="0"/>
                    <w:bottom w:val="single" w:color="0A3DCC" w:sz="6" w:space="0"/>
                    <w:right w:val="single" w:color="0A3DCC" w:sz="6" w:space="0"/>
                  </w:tcBorders>
                  <w:shd w:val="clear" w:color="auto" w:fill="E7E8F6"/>
                  <w:tcMar>
                    <w:top w:w="72" w:type="dxa"/>
                    <w:left w:w="144" w:type="dxa"/>
                    <w:bottom w:w="72" w:type="dxa"/>
                    <w:right w:w="144" w:type="dxa"/>
                  </w:tcMar>
                  <w:vAlign w:val="center"/>
                </w:tcPr>
                <w:p>
                  <w:pPr>
                    <w:widowControl/>
                    <w:spacing w:line="240" w:lineRule="exact"/>
                    <w:jc w:val="center"/>
                    <w:rPr>
                      <w:rFonts w:ascii="楷体" w:hAnsi="楷体" w:eastAsia="楷体" w:cs="Arial"/>
                      <w:spacing w:val="-12"/>
                      <w:kern w:val="0"/>
                      <w:szCs w:val="21"/>
                    </w:rPr>
                  </w:pPr>
                  <w:r>
                    <w:rPr>
                      <w:rFonts w:hint="eastAsia" w:ascii="楷体" w:hAnsi="楷体" w:eastAsia="楷体" w:cs="Arial"/>
                      <w:spacing w:val="-12"/>
                      <w:kern w:val="0"/>
                      <w:szCs w:val="21"/>
                    </w:rPr>
                    <w:t>7</w:t>
                  </w:r>
                </w:p>
              </w:tc>
              <w:tc>
                <w:tcPr>
                  <w:tcW w:w="1604" w:type="pct"/>
                  <w:tcBorders>
                    <w:top w:val="nil"/>
                    <w:left w:val="single" w:color="auto" w:sz="4" w:space="0"/>
                    <w:bottom w:val="single" w:color="auto" w:sz="4" w:space="0"/>
                    <w:right w:val="single" w:color="auto" w:sz="4" w:space="0"/>
                  </w:tcBorders>
                  <w:shd w:val="clear" w:color="auto" w:fill="auto"/>
                  <w:tcMar>
                    <w:top w:w="72" w:type="dxa"/>
                    <w:left w:w="144" w:type="dxa"/>
                    <w:bottom w:w="72" w:type="dxa"/>
                    <w:right w:w="144" w:type="dxa"/>
                  </w:tcMar>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煤矿井下顶板裂隙带瓦斯高效抽采技术及装备</w:t>
                  </w:r>
                </w:p>
              </w:tc>
              <w:tc>
                <w:tcPr>
                  <w:tcW w:w="1925" w:type="pct"/>
                  <w:tcBorders>
                    <w:top w:val="nil"/>
                    <w:left w:val="nil"/>
                    <w:bottom w:val="single" w:color="auto" w:sz="4" w:space="0"/>
                    <w:right w:val="single" w:color="auto" w:sz="4" w:space="0"/>
                  </w:tcBorders>
                  <w:shd w:val="clear" w:color="000000" w:fill="FFFFFF"/>
                  <w:tcMar>
                    <w:top w:w="72" w:type="dxa"/>
                    <w:left w:w="144" w:type="dxa"/>
                    <w:bottom w:w="72" w:type="dxa"/>
                    <w:right w:w="144" w:type="dxa"/>
                  </w:tcMar>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中国职业安全健康协会科学技术奖一等奖</w:t>
                  </w:r>
                </w:p>
              </w:tc>
              <w:tc>
                <w:tcPr>
                  <w:tcW w:w="1057" w:type="pct"/>
                  <w:tcBorders>
                    <w:top w:val="nil"/>
                    <w:left w:val="nil"/>
                    <w:bottom w:val="single" w:color="auto" w:sz="4" w:space="0"/>
                    <w:right w:val="single" w:color="auto" w:sz="4" w:space="0"/>
                  </w:tcBorders>
                  <w:shd w:val="clear" w:color="auto" w:fill="auto"/>
                  <w:vAlign w:val="center"/>
                </w:tcPr>
                <w:p>
                  <w:pPr>
                    <w:widowControl/>
                    <w:spacing w:line="240" w:lineRule="exact"/>
                    <w:rPr>
                      <w:rFonts w:ascii="楷体" w:hAnsi="楷体" w:eastAsia="楷体"/>
                      <w:spacing w:val="-12"/>
                      <w:kern w:val="0"/>
                      <w:szCs w:val="21"/>
                    </w:rPr>
                  </w:pPr>
                  <w:r>
                    <w:rPr>
                      <w:rFonts w:hint="eastAsia" w:ascii="宋体" w:hAnsi="宋体" w:cs="宋体"/>
                      <w:kern w:val="0"/>
                      <w:sz w:val="20"/>
                      <w:szCs w:val="20"/>
                    </w:rPr>
                    <w:t>中国职业安全健康协会</w:t>
                  </w:r>
                </w:p>
              </w:tc>
            </w:tr>
          </w:tbl>
          <w:p>
            <w:pPr>
              <w:spacing w:before="156" w:beforeLines="50" w:line="360" w:lineRule="auto"/>
              <w:rPr>
                <w:rFonts w:ascii="黑体" w:hAnsi="黑体" w:eastAsia="黑体"/>
                <w:sz w:val="24"/>
              </w:rPr>
            </w:pPr>
            <w:r>
              <w:rPr>
                <w:rFonts w:ascii="黑体" w:hAnsi="黑体" w:eastAsia="黑体"/>
                <w:sz w:val="24"/>
              </w:rPr>
              <w:t>2</w:t>
            </w:r>
            <w:r>
              <w:rPr>
                <w:rFonts w:hint="eastAsia" w:ascii="黑体" w:hAnsi="黑体" w:eastAsia="黑体"/>
                <w:sz w:val="24"/>
              </w:rPr>
              <w:t>.成果</w:t>
            </w:r>
            <w:r>
              <w:rPr>
                <w:rFonts w:ascii="黑体" w:hAnsi="黑体" w:eastAsia="黑体"/>
                <w:sz w:val="24"/>
              </w:rPr>
              <w:t>转化</w:t>
            </w:r>
            <w:r>
              <w:rPr>
                <w:rFonts w:hint="eastAsia" w:ascii="黑体" w:hAnsi="黑体" w:eastAsia="黑体"/>
                <w:sz w:val="24"/>
              </w:rPr>
              <w:t>奖励</w:t>
            </w:r>
          </w:p>
          <w:tbl>
            <w:tblPr>
              <w:tblStyle w:val="8"/>
              <w:tblW w:w="5000" w:type="pct"/>
              <w:tblInd w:w="0" w:type="dxa"/>
              <w:tblLayout w:type="fixed"/>
              <w:tblCellMar>
                <w:top w:w="0" w:type="dxa"/>
                <w:left w:w="0" w:type="dxa"/>
                <w:bottom w:w="0" w:type="dxa"/>
                <w:right w:w="0" w:type="dxa"/>
              </w:tblCellMar>
            </w:tblPr>
            <w:tblGrid>
              <w:gridCol w:w="732"/>
              <w:gridCol w:w="2840"/>
              <w:gridCol w:w="3408"/>
              <w:gridCol w:w="1871"/>
            </w:tblGrid>
            <w:tr>
              <w:tblPrEx>
                <w:tblCellMar>
                  <w:top w:w="0" w:type="dxa"/>
                  <w:left w:w="0" w:type="dxa"/>
                  <w:bottom w:w="0" w:type="dxa"/>
                  <w:right w:w="0" w:type="dxa"/>
                </w:tblCellMar>
              </w:tblPrEx>
              <w:trPr>
                <w:trHeight w:val="227" w:hRule="atLeast"/>
              </w:trPr>
              <w:tc>
                <w:tcPr>
                  <w:tcW w:w="414"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jc w:val="center"/>
                    <w:rPr>
                      <w:rFonts w:hint="eastAsia" w:ascii="楷体" w:hAnsi="楷体" w:eastAsia="楷体"/>
                      <w:spacing w:val="-12"/>
                      <w:kern w:val="0"/>
                      <w:szCs w:val="21"/>
                    </w:rPr>
                  </w:pPr>
                  <w:r>
                    <w:rPr>
                      <w:rFonts w:hint="eastAsia" w:ascii="楷体" w:hAnsi="楷体" w:eastAsia="楷体" w:cs="Arial"/>
                      <w:kern w:val="0"/>
                      <w:szCs w:val="21"/>
                    </w:rPr>
                    <w:t>序号</w:t>
                  </w:r>
                </w:p>
              </w:tc>
              <w:tc>
                <w:tcPr>
                  <w:tcW w:w="1604"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jc w:val="center"/>
                    <w:rPr>
                      <w:rFonts w:hint="eastAsia"/>
                    </w:rPr>
                  </w:pPr>
                  <w:r>
                    <w:rPr>
                      <w:rFonts w:hint="eastAsia" w:ascii="楷体" w:hAnsi="楷体" w:eastAsia="楷体" w:cs="Arial"/>
                      <w:kern w:val="0"/>
                      <w:szCs w:val="21"/>
                    </w:rPr>
                    <w:t>项目</w:t>
                  </w:r>
                  <w:r>
                    <w:rPr>
                      <w:rFonts w:ascii="楷体" w:hAnsi="楷体" w:eastAsia="楷体" w:cs="Arial"/>
                      <w:kern w:val="0"/>
                      <w:szCs w:val="21"/>
                    </w:rPr>
                    <w:t>名称</w:t>
                  </w:r>
                </w:p>
              </w:tc>
              <w:tc>
                <w:tcPr>
                  <w:tcW w:w="1925"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jc w:val="center"/>
                    <w:rPr>
                      <w:rFonts w:hint="eastAsia"/>
                    </w:rPr>
                  </w:pPr>
                  <w:r>
                    <w:rPr>
                      <w:rFonts w:hint="eastAsia" w:ascii="楷体" w:hAnsi="楷体" w:eastAsia="楷体" w:cs="Arial"/>
                      <w:kern w:val="0"/>
                      <w:szCs w:val="21"/>
                    </w:rPr>
                    <w:t>奖励</w:t>
                  </w:r>
                  <w:r>
                    <w:rPr>
                      <w:rFonts w:ascii="楷体" w:hAnsi="楷体" w:eastAsia="楷体" w:cs="Arial"/>
                      <w:kern w:val="0"/>
                      <w:szCs w:val="21"/>
                    </w:rPr>
                    <w:t>名称</w:t>
                  </w:r>
                  <w:r>
                    <w:rPr>
                      <w:rFonts w:hint="eastAsia" w:ascii="楷体" w:hAnsi="楷体" w:eastAsia="楷体" w:cs="Arial"/>
                      <w:kern w:val="0"/>
                      <w:szCs w:val="21"/>
                    </w:rPr>
                    <w:t>及等级</w:t>
                  </w:r>
                </w:p>
              </w:tc>
              <w:tc>
                <w:tcPr>
                  <w:tcW w:w="1057" w:type="pct"/>
                  <w:tcBorders>
                    <w:top w:val="single" w:color="0A3DCC" w:sz="6" w:space="0"/>
                    <w:left w:val="single" w:color="0A3DCC" w:sz="6" w:space="0"/>
                    <w:bottom w:val="single" w:color="0A3DCC" w:sz="6" w:space="0"/>
                    <w:right w:val="single" w:color="0A3DCC" w:sz="6" w:space="0"/>
                  </w:tcBorders>
                  <w:shd w:val="clear" w:color="auto" w:fill="F5F8FC"/>
                  <w:vAlign w:val="center"/>
                </w:tcPr>
                <w:p>
                  <w:pPr>
                    <w:widowControl/>
                    <w:spacing w:line="240" w:lineRule="exact"/>
                    <w:rPr>
                      <w:rFonts w:hint="eastAsia"/>
                    </w:rPr>
                  </w:pPr>
                  <w:r>
                    <w:rPr>
                      <w:rFonts w:hint="eastAsia" w:ascii="楷体" w:hAnsi="楷体" w:eastAsia="楷体" w:cs="Arial"/>
                      <w:kern w:val="0"/>
                      <w:szCs w:val="21"/>
                    </w:rPr>
                    <w:t>颁奖单位</w:t>
                  </w:r>
                </w:p>
              </w:tc>
            </w:tr>
            <w:tr>
              <w:tblPrEx>
                <w:tblCellMar>
                  <w:top w:w="0" w:type="dxa"/>
                  <w:left w:w="0" w:type="dxa"/>
                  <w:bottom w:w="0" w:type="dxa"/>
                  <w:right w:w="0" w:type="dxa"/>
                </w:tblCellMar>
              </w:tblPrEx>
              <w:trPr>
                <w:trHeight w:val="227" w:hRule="atLeast"/>
              </w:trPr>
              <w:tc>
                <w:tcPr>
                  <w:tcW w:w="414"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jc w:val="center"/>
                    <w:rPr>
                      <w:rFonts w:ascii="楷体" w:hAnsi="楷体" w:eastAsia="楷体"/>
                      <w:spacing w:val="-12"/>
                      <w:kern w:val="0"/>
                      <w:szCs w:val="21"/>
                    </w:rPr>
                  </w:pPr>
                  <w:r>
                    <w:rPr>
                      <w:rFonts w:hint="eastAsia" w:ascii="楷体" w:hAnsi="楷体" w:eastAsia="楷体"/>
                      <w:spacing w:val="-12"/>
                      <w:kern w:val="0"/>
                      <w:szCs w:val="21"/>
                    </w:rPr>
                    <w:t>1</w:t>
                  </w:r>
                </w:p>
              </w:tc>
              <w:tc>
                <w:tcPr>
                  <w:tcW w:w="1604"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rPr>
                      <w:rFonts w:ascii="楷体" w:hAnsi="楷体" w:eastAsia="楷体"/>
                      <w:spacing w:val="-12"/>
                      <w:kern w:val="0"/>
                      <w:szCs w:val="21"/>
                    </w:rPr>
                  </w:pPr>
                  <w:r>
                    <w:rPr>
                      <w:rFonts w:hint="eastAsia"/>
                    </w:rPr>
                    <w:t>高可靠高稳定煤矿安全监控系统关键技术研究及应用</w:t>
                  </w:r>
                </w:p>
              </w:tc>
              <w:tc>
                <w:tcPr>
                  <w:tcW w:w="1925"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rPr>
                      <w:rFonts w:ascii="楷体" w:hAnsi="楷体" w:eastAsia="楷体"/>
                      <w:spacing w:val="-12"/>
                      <w:kern w:val="0"/>
                      <w:szCs w:val="21"/>
                    </w:rPr>
                  </w:pPr>
                  <w:r>
                    <w:rPr>
                      <w:rFonts w:hint="eastAsia"/>
                    </w:rPr>
                    <w:t>2</w:t>
                  </w:r>
                  <w:r>
                    <w:t>019</w:t>
                  </w:r>
                  <w:r>
                    <w:rPr>
                      <w:rFonts w:hint="eastAsia"/>
                    </w:rPr>
                    <w:t>年度中国煤炭科工集团科技成果转化贡献奖二</w:t>
                  </w:r>
                  <w:r>
                    <w:t>等奖</w:t>
                  </w:r>
                </w:p>
              </w:tc>
              <w:tc>
                <w:tcPr>
                  <w:tcW w:w="1057" w:type="pct"/>
                  <w:tcBorders>
                    <w:top w:val="single" w:color="0A3DCC" w:sz="6" w:space="0"/>
                    <w:left w:val="single" w:color="0A3DCC" w:sz="6" w:space="0"/>
                    <w:bottom w:val="single" w:color="0A3DCC" w:sz="6" w:space="0"/>
                    <w:right w:val="single" w:color="0A3DCC" w:sz="6" w:space="0"/>
                  </w:tcBorders>
                  <w:shd w:val="clear" w:color="auto" w:fill="F5F8FC"/>
                  <w:vAlign w:val="center"/>
                </w:tcPr>
                <w:p>
                  <w:pPr>
                    <w:widowControl/>
                    <w:spacing w:line="240" w:lineRule="exact"/>
                    <w:rPr>
                      <w:rFonts w:ascii="楷体" w:hAnsi="楷体" w:eastAsia="楷体"/>
                      <w:spacing w:val="-12"/>
                      <w:kern w:val="0"/>
                      <w:szCs w:val="21"/>
                    </w:rPr>
                  </w:pPr>
                  <w:r>
                    <w:rPr>
                      <w:rFonts w:hint="eastAsia"/>
                    </w:rPr>
                    <w:t>中国煤炭科工集团有限公司</w:t>
                  </w:r>
                </w:p>
              </w:tc>
            </w:tr>
          </w:tbl>
          <w:p>
            <w:pPr>
              <w:spacing w:before="156" w:beforeLines="50" w:line="360" w:lineRule="auto"/>
              <w:rPr>
                <w:rFonts w:ascii="黑体" w:hAnsi="黑体" w:eastAsia="黑体"/>
                <w:sz w:val="24"/>
              </w:rPr>
            </w:pPr>
            <w:r>
              <w:rPr>
                <w:rFonts w:ascii="黑体" w:hAnsi="黑体" w:eastAsia="黑体"/>
                <w:sz w:val="24"/>
              </w:rPr>
              <w:t>3</w:t>
            </w:r>
            <w:r>
              <w:rPr>
                <w:rFonts w:hint="eastAsia" w:ascii="黑体" w:hAnsi="黑体" w:eastAsia="黑体"/>
                <w:sz w:val="24"/>
              </w:rPr>
              <w:t>.发明人荣誉</w:t>
            </w:r>
          </w:p>
          <w:tbl>
            <w:tblPr>
              <w:tblStyle w:val="8"/>
              <w:tblW w:w="5000" w:type="pct"/>
              <w:tblInd w:w="0" w:type="dxa"/>
              <w:tblLayout w:type="fixed"/>
              <w:tblCellMar>
                <w:top w:w="0" w:type="dxa"/>
                <w:left w:w="0" w:type="dxa"/>
                <w:bottom w:w="0" w:type="dxa"/>
                <w:right w:w="0" w:type="dxa"/>
              </w:tblCellMar>
            </w:tblPr>
            <w:tblGrid>
              <w:gridCol w:w="735"/>
              <w:gridCol w:w="1276"/>
              <w:gridCol w:w="3404"/>
              <w:gridCol w:w="3436"/>
            </w:tblGrid>
            <w:tr>
              <w:tblPrEx>
                <w:tblCellMar>
                  <w:top w:w="0" w:type="dxa"/>
                  <w:left w:w="0" w:type="dxa"/>
                  <w:bottom w:w="0" w:type="dxa"/>
                  <w:right w:w="0" w:type="dxa"/>
                </w:tblCellMar>
              </w:tblPrEx>
              <w:trPr>
                <w:trHeight w:val="227" w:hRule="atLeast"/>
              </w:trPr>
              <w:tc>
                <w:tcPr>
                  <w:tcW w:w="415"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jc w:val="center"/>
                    <w:rPr>
                      <w:rFonts w:hint="eastAsia" w:ascii="宋体" w:hAnsi="宋体" w:cs="宋体"/>
                      <w:spacing w:val="-12"/>
                      <w:kern w:val="0"/>
                      <w:szCs w:val="21"/>
                    </w:rPr>
                  </w:pPr>
                  <w:r>
                    <w:rPr>
                      <w:rFonts w:hint="eastAsia" w:ascii="楷体" w:hAnsi="楷体" w:eastAsia="楷体" w:cs="Arial"/>
                      <w:kern w:val="0"/>
                      <w:szCs w:val="21"/>
                    </w:rPr>
                    <w:t>序号</w:t>
                  </w:r>
                </w:p>
              </w:tc>
              <w:tc>
                <w:tcPr>
                  <w:tcW w:w="721"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jc w:val="center"/>
                    <w:rPr>
                      <w:rFonts w:hint="eastAsia" w:ascii="宋体" w:hAnsi="宋体" w:cs="宋体"/>
                      <w:spacing w:val="-12"/>
                      <w:kern w:val="0"/>
                      <w:szCs w:val="21"/>
                    </w:rPr>
                  </w:pPr>
                  <w:r>
                    <w:rPr>
                      <w:rFonts w:hint="eastAsia" w:ascii="楷体" w:hAnsi="楷体" w:eastAsia="楷体" w:cs="Arial"/>
                      <w:kern w:val="0"/>
                      <w:szCs w:val="21"/>
                    </w:rPr>
                    <w:t>发明人</w:t>
                  </w:r>
                </w:p>
              </w:tc>
              <w:tc>
                <w:tcPr>
                  <w:tcW w:w="1923"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jc w:val="center"/>
                    <w:rPr>
                      <w:rFonts w:hint="eastAsia" w:ascii="宋体" w:hAnsi="宋体" w:cs="宋体"/>
                      <w:spacing w:val="-12"/>
                      <w:kern w:val="0"/>
                      <w:szCs w:val="21"/>
                    </w:rPr>
                  </w:pPr>
                  <w:r>
                    <w:rPr>
                      <w:rFonts w:hint="eastAsia" w:ascii="楷体" w:hAnsi="楷体" w:eastAsia="楷体" w:cs="Arial"/>
                      <w:kern w:val="0"/>
                      <w:szCs w:val="21"/>
                    </w:rPr>
                    <w:t>简介</w:t>
                  </w:r>
                </w:p>
              </w:tc>
              <w:tc>
                <w:tcPr>
                  <w:tcW w:w="1941" w:type="pct"/>
                  <w:tcBorders>
                    <w:top w:val="single" w:color="0A3DCC" w:sz="6" w:space="0"/>
                    <w:left w:val="single" w:color="0A3DCC" w:sz="6" w:space="0"/>
                    <w:bottom w:val="single" w:color="0A3DCC" w:sz="6" w:space="0"/>
                    <w:right w:val="single" w:color="0A3DCC" w:sz="6" w:space="0"/>
                  </w:tcBorders>
                  <w:shd w:val="clear" w:color="auto" w:fill="F5F8FC"/>
                  <w:vAlign w:val="center"/>
                </w:tcPr>
                <w:p>
                  <w:pPr>
                    <w:widowControl/>
                    <w:spacing w:line="240" w:lineRule="exact"/>
                    <w:jc w:val="center"/>
                    <w:rPr>
                      <w:rFonts w:hint="eastAsia" w:ascii="宋体" w:hAnsi="宋体" w:cs="宋体"/>
                      <w:spacing w:val="-12"/>
                      <w:kern w:val="0"/>
                      <w:szCs w:val="21"/>
                    </w:rPr>
                  </w:pPr>
                  <w:r>
                    <w:rPr>
                      <w:rFonts w:hint="eastAsia" w:ascii="楷体" w:hAnsi="楷体" w:eastAsia="楷体" w:cs="Arial"/>
                      <w:kern w:val="0"/>
                      <w:szCs w:val="21"/>
                    </w:rPr>
                    <w:t>获奖情况</w:t>
                  </w:r>
                </w:p>
              </w:tc>
            </w:tr>
            <w:tr>
              <w:tblPrEx>
                <w:tblCellMar>
                  <w:top w:w="0" w:type="dxa"/>
                  <w:left w:w="0" w:type="dxa"/>
                  <w:bottom w:w="0" w:type="dxa"/>
                  <w:right w:w="0" w:type="dxa"/>
                </w:tblCellMar>
              </w:tblPrEx>
              <w:trPr>
                <w:trHeight w:val="227" w:hRule="atLeast"/>
              </w:trPr>
              <w:tc>
                <w:tcPr>
                  <w:tcW w:w="415"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jc w:val="center"/>
                    <w:rPr>
                      <w:rFonts w:ascii="宋体" w:hAnsi="宋体" w:cs="宋体"/>
                      <w:spacing w:val="-12"/>
                      <w:kern w:val="0"/>
                      <w:szCs w:val="21"/>
                    </w:rPr>
                  </w:pPr>
                  <w:r>
                    <w:rPr>
                      <w:rFonts w:hint="eastAsia" w:ascii="宋体" w:hAnsi="宋体" w:cs="宋体"/>
                      <w:spacing w:val="-12"/>
                      <w:kern w:val="0"/>
                      <w:szCs w:val="21"/>
                    </w:rPr>
                    <w:t>1</w:t>
                  </w:r>
                </w:p>
              </w:tc>
              <w:tc>
                <w:tcPr>
                  <w:tcW w:w="721"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rPr>
                      <w:rFonts w:ascii="宋体" w:hAnsi="宋体" w:cs="宋体"/>
                      <w:spacing w:val="-12"/>
                      <w:kern w:val="0"/>
                      <w:szCs w:val="21"/>
                    </w:rPr>
                  </w:pPr>
                  <w:r>
                    <w:rPr>
                      <w:rFonts w:hint="eastAsia" w:ascii="宋体" w:hAnsi="宋体" w:cs="宋体"/>
                      <w:spacing w:val="-12"/>
                      <w:kern w:val="0"/>
                      <w:szCs w:val="21"/>
                    </w:rPr>
                    <w:t>李军</w:t>
                  </w:r>
                </w:p>
              </w:tc>
              <w:tc>
                <w:tcPr>
                  <w:tcW w:w="1923"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rPr>
                      <w:rFonts w:ascii="宋体" w:hAnsi="宋体" w:cs="宋体"/>
                      <w:spacing w:val="-12"/>
                      <w:kern w:val="0"/>
                      <w:szCs w:val="21"/>
                    </w:rPr>
                  </w:pPr>
                  <w:r>
                    <w:rPr>
                      <w:rFonts w:hint="eastAsia" w:ascii="宋体" w:hAnsi="宋体" w:cs="宋体"/>
                      <w:spacing w:val="-12"/>
                      <w:kern w:val="0"/>
                      <w:szCs w:val="21"/>
                    </w:rPr>
                    <w:t>硕士，研究员。主要从事矿山安全仪器仪表研发工作。申请专利73项，其中发明专利43项，主持或参与科研项目42项，发表学术论文25篇，个人获得各类科技进步奖及科技成果转化贡献奖9项。</w:t>
                  </w:r>
                </w:p>
              </w:tc>
              <w:tc>
                <w:tcPr>
                  <w:tcW w:w="1941" w:type="pct"/>
                  <w:tcBorders>
                    <w:top w:val="single" w:color="0A3DCC" w:sz="6" w:space="0"/>
                    <w:left w:val="single" w:color="0A3DCC" w:sz="6" w:space="0"/>
                    <w:bottom w:val="single" w:color="0A3DCC" w:sz="6" w:space="0"/>
                    <w:right w:val="single" w:color="0A3DCC" w:sz="6" w:space="0"/>
                  </w:tcBorders>
                  <w:shd w:val="clear" w:color="auto" w:fill="F5F8FC"/>
                  <w:vAlign w:val="center"/>
                </w:tcPr>
                <w:p>
                  <w:pPr>
                    <w:widowControl/>
                    <w:spacing w:line="240" w:lineRule="exact"/>
                    <w:rPr>
                      <w:rFonts w:ascii="宋体" w:hAnsi="宋体" w:cs="宋体"/>
                      <w:spacing w:val="-12"/>
                      <w:kern w:val="0"/>
                      <w:szCs w:val="21"/>
                    </w:rPr>
                  </w:pPr>
                  <w:r>
                    <w:rPr>
                      <w:rFonts w:hint="eastAsia" w:ascii="宋体" w:hAnsi="宋体" w:cs="宋体"/>
                      <w:spacing w:val="-12"/>
                      <w:kern w:val="0"/>
                      <w:szCs w:val="21"/>
                    </w:rPr>
                    <w:t>1、煤矿安全监控系统关键技术研究及应用，重庆市科技进步奖一等，重庆市人民政府，个人排名第11</w:t>
                  </w:r>
                </w:p>
                <w:p>
                  <w:pPr>
                    <w:widowControl/>
                    <w:spacing w:line="240" w:lineRule="exact"/>
                    <w:rPr>
                      <w:rFonts w:ascii="宋体" w:hAnsi="宋体" w:cs="宋体"/>
                      <w:spacing w:val="-12"/>
                      <w:kern w:val="0"/>
                      <w:szCs w:val="21"/>
                    </w:rPr>
                  </w:pPr>
                  <w:r>
                    <w:rPr>
                      <w:rFonts w:hint="eastAsia" w:ascii="宋体" w:hAnsi="宋体" w:cs="宋体"/>
                      <w:spacing w:val="-12"/>
                      <w:kern w:val="0"/>
                      <w:szCs w:val="21"/>
                    </w:rPr>
                    <w:t>2、井下全区域覆盖智能传感器系统的设计研究，重庆市科技进步奖三等奖，重庆市人民政府，个人排名第2</w:t>
                  </w:r>
                </w:p>
                <w:p>
                  <w:pPr>
                    <w:widowControl/>
                    <w:spacing w:line="240" w:lineRule="exact"/>
                    <w:rPr>
                      <w:rFonts w:ascii="宋体" w:hAnsi="宋体" w:cs="宋体"/>
                      <w:spacing w:val="-12"/>
                      <w:kern w:val="0"/>
                      <w:szCs w:val="21"/>
                    </w:rPr>
                  </w:pPr>
                  <w:r>
                    <w:rPr>
                      <w:rFonts w:hint="eastAsia" w:ascii="宋体" w:hAnsi="宋体" w:cs="宋体"/>
                      <w:spacing w:val="-12"/>
                      <w:kern w:val="0"/>
                      <w:szCs w:val="21"/>
                    </w:rPr>
                    <w:t>3、KJ90CF型瓦斯抽采（放）计量监控系统，科学技术三等奖，煤炭工业协会，个人排名第9</w:t>
                  </w:r>
                </w:p>
                <w:p>
                  <w:pPr>
                    <w:widowControl/>
                    <w:spacing w:line="240" w:lineRule="exact"/>
                    <w:rPr>
                      <w:rFonts w:ascii="宋体" w:hAnsi="宋体" w:cs="宋体"/>
                      <w:spacing w:val="-12"/>
                      <w:kern w:val="0"/>
                      <w:szCs w:val="21"/>
                    </w:rPr>
                  </w:pPr>
                  <w:r>
                    <w:rPr>
                      <w:rFonts w:hint="eastAsia" w:ascii="宋体" w:hAnsi="宋体" w:cs="宋体"/>
                      <w:spacing w:val="-12"/>
                      <w:kern w:val="0"/>
                      <w:szCs w:val="21"/>
                    </w:rPr>
                    <w:t>4、大柳塔煤矿5-2煤主井胶带机防灭火系统，科技成果奖三等奖，中煤科工集团有限公司，个人排名第4</w:t>
                  </w:r>
                </w:p>
                <w:p>
                  <w:pPr>
                    <w:widowControl/>
                    <w:spacing w:line="240" w:lineRule="exact"/>
                    <w:rPr>
                      <w:rFonts w:ascii="宋体" w:hAnsi="宋体" w:cs="宋体"/>
                      <w:spacing w:val="-12"/>
                      <w:kern w:val="0"/>
                      <w:szCs w:val="21"/>
                    </w:rPr>
                  </w:pPr>
                  <w:r>
                    <w:rPr>
                      <w:rFonts w:hint="eastAsia" w:ascii="宋体" w:hAnsi="宋体" w:cs="宋体"/>
                      <w:spacing w:val="-12"/>
                      <w:kern w:val="0"/>
                      <w:szCs w:val="21"/>
                    </w:rPr>
                    <w:t>5、YSZ160矿用钻孔深度测量仪，科技成果奖三等奖，中煤科工集团有限公司，个人排名第2</w:t>
                  </w:r>
                </w:p>
                <w:p>
                  <w:pPr>
                    <w:widowControl/>
                    <w:spacing w:line="240" w:lineRule="exact"/>
                    <w:rPr>
                      <w:rFonts w:ascii="宋体" w:hAnsi="宋体" w:cs="宋体"/>
                      <w:spacing w:val="-12"/>
                      <w:kern w:val="0"/>
                      <w:szCs w:val="21"/>
                    </w:rPr>
                  </w:pPr>
                  <w:r>
                    <w:rPr>
                      <w:rFonts w:hint="eastAsia" w:ascii="宋体" w:hAnsi="宋体" w:cs="宋体"/>
                      <w:spacing w:val="-12"/>
                      <w:kern w:val="0"/>
                      <w:szCs w:val="21"/>
                    </w:rPr>
                    <w:t>6、YSZ160矿用钻孔深度测量仪，科技进步奖三等奖，重庆市人民政府，个人排名第5</w:t>
                  </w:r>
                </w:p>
                <w:p>
                  <w:pPr>
                    <w:widowControl/>
                    <w:spacing w:line="240" w:lineRule="exact"/>
                    <w:rPr>
                      <w:rFonts w:ascii="宋体" w:hAnsi="宋体" w:cs="宋体"/>
                      <w:spacing w:val="-12"/>
                      <w:kern w:val="0"/>
                      <w:szCs w:val="21"/>
                    </w:rPr>
                  </w:pPr>
                  <w:r>
                    <w:rPr>
                      <w:rFonts w:hint="eastAsia" w:ascii="宋体" w:hAnsi="宋体" w:cs="宋体"/>
                      <w:spacing w:val="-12"/>
                      <w:kern w:val="0"/>
                      <w:szCs w:val="21"/>
                    </w:rPr>
                    <w:t>7、钻孔深度测量仪，科技奖三等奖，中国职业安全健康协会，个人排名第3</w:t>
                  </w:r>
                </w:p>
                <w:p>
                  <w:pPr>
                    <w:widowControl/>
                    <w:spacing w:line="240" w:lineRule="exact"/>
                    <w:rPr>
                      <w:rFonts w:ascii="宋体" w:hAnsi="宋体" w:cs="宋体"/>
                      <w:spacing w:val="-12"/>
                      <w:kern w:val="0"/>
                      <w:szCs w:val="21"/>
                    </w:rPr>
                  </w:pPr>
                  <w:r>
                    <w:rPr>
                      <w:rFonts w:hint="eastAsia" w:ascii="宋体" w:hAnsi="宋体" w:cs="宋体"/>
                      <w:spacing w:val="-12"/>
                      <w:kern w:val="0"/>
                      <w:szCs w:val="21"/>
                    </w:rPr>
                    <w:t>8、井下全区域覆盖智能传感器系统的设计研究，科技成果奖-三等奖，中国煤炭科工集团有限公司，个人排名第4</w:t>
                  </w:r>
                </w:p>
                <w:p>
                  <w:pPr>
                    <w:widowControl/>
                    <w:spacing w:line="240" w:lineRule="exact"/>
                    <w:rPr>
                      <w:rFonts w:ascii="宋体" w:hAnsi="宋体" w:cs="宋体"/>
                      <w:spacing w:val="-12"/>
                      <w:kern w:val="0"/>
                      <w:szCs w:val="21"/>
                    </w:rPr>
                  </w:pPr>
                  <w:r>
                    <w:rPr>
                      <w:rFonts w:hint="eastAsia" w:ascii="宋体" w:hAnsi="宋体" w:cs="宋体"/>
                      <w:spacing w:val="-12"/>
                      <w:kern w:val="0"/>
                      <w:szCs w:val="21"/>
                    </w:rPr>
                    <w:t>9、激光甲烷传感器系列产品，科技成果转化贡献奖，中国煤炭科工集团，个人排名第6</w:t>
                  </w:r>
                </w:p>
              </w:tc>
            </w:tr>
            <w:tr>
              <w:tblPrEx>
                <w:tblCellMar>
                  <w:top w:w="0" w:type="dxa"/>
                  <w:left w:w="0" w:type="dxa"/>
                  <w:bottom w:w="0" w:type="dxa"/>
                  <w:right w:w="0" w:type="dxa"/>
                </w:tblCellMar>
              </w:tblPrEx>
              <w:trPr>
                <w:trHeight w:val="227" w:hRule="atLeast"/>
              </w:trPr>
              <w:tc>
                <w:tcPr>
                  <w:tcW w:w="415"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jc w:val="center"/>
                    <w:rPr>
                      <w:rFonts w:ascii="宋体" w:hAnsi="宋体" w:cs="宋体"/>
                      <w:spacing w:val="-12"/>
                      <w:kern w:val="0"/>
                      <w:szCs w:val="21"/>
                    </w:rPr>
                  </w:pPr>
                  <w:r>
                    <w:rPr>
                      <w:rFonts w:hint="eastAsia" w:ascii="宋体" w:hAnsi="宋体" w:cs="宋体"/>
                      <w:spacing w:val="-12"/>
                      <w:kern w:val="0"/>
                      <w:szCs w:val="21"/>
                    </w:rPr>
                    <w:t>2</w:t>
                  </w:r>
                </w:p>
              </w:tc>
              <w:tc>
                <w:tcPr>
                  <w:tcW w:w="721"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rPr>
                      <w:rFonts w:ascii="宋体" w:hAnsi="宋体" w:cs="宋体"/>
                      <w:spacing w:val="-12"/>
                      <w:kern w:val="0"/>
                      <w:szCs w:val="21"/>
                    </w:rPr>
                  </w:pPr>
                  <w:r>
                    <w:rPr>
                      <w:rFonts w:hint="eastAsia" w:ascii="宋体" w:hAnsi="宋体" w:cs="宋体"/>
                      <w:spacing w:val="-12"/>
                      <w:kern w:val="0"/>
                      <w:szCs w:val="21"/>
                    </w:rPr>
                    <w:t>张远征</w:t>
                  </w:r>
                </w:p>
              </w:tc>
              <w:tc>
                <w:tcPr>
                  <w:tcW w:w="1923"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rPr>
                      <w:rFonts w:ascii="宋体" w:hAnsi="宋体" w:cs="宋体"/>
                      <w:spacing w:val="-12"/>
                      <w:kern w:val="0"/>
                      <w:szCs w:val="21"/>
                    </w:rPr>
                  </w:pPr>
                  <w:r>
                    <w:rPr>
                      <w:rFonts w:hint="eastAsia" w:ascii="宋体" w:hAnsi="宋体" w:cs="宋体"/>
                      <w:spacing w:val="-12"/>
                      <w:kern w:val="0"/>
                      <w:szCs w:val="21"/>
                    </w:rPr>
                    <w:t>硕士，副研究员。主要从事矿山安全仪器仪表研发工作。申请发明专利20余项；获得科技奖励2项；公开发表论文20余篇，参写行业标准1项，国际会议论文2篇。</w:t>
                  </w:r>
                </w:p>
              </w:tc>
              <w:tc>
                <w:tcPr>
                  <w:tcW w:w="1941" w:type="pct"/>
                  <w:tcBorders>
                    <w:top w:val="single" w:color="0A3DCC" w:sz="6" w:space="0"/>
                    <w:left w:val="single" w:color="0A3DCC" w:sz="6" w:space="0"/>
                    <w:bottom w:val="single" w:color="0A3DCC" w:sz="6" w:space="0"/>
                    <w:right w:val="single" w:color="0A3DCC" w:sz="6" w:space="0"/>
                  </w:tcBorders>
                  <w:shd w:val="clear" w:color="auto" w:fill="F5F8FC"/>
                  <w:vAlign w:val="center"/>
                </w:tcPr>
                <w:p>
                  <w:pPr>
                    <w:widowControl/>
                    <w:spacing w:line="240" w:lineRule="exact"/>
                    <w:rPr>
                      <w:rFonts w:ascii="宋体" w:hAnsi="宋体" w:cs="宋体"/>
                      <w:spacing w:val="-12"/>
                      <w:kern w:val="0"/>
                      <w:szCs w:val="21"/>
                    </w:rPr>
                  </w:pPr>
                  <w:r>
                    <w:rPr>
                      <w:rFonts w:hint="eastAsia" w:ascii="宋体" w:hAnsi="宋体" w:cs="宋体"/>
                      <w:spacing w:val="-12"/>
                      <w:kern w:val="0"/>
                      <w:szCs w:val="21"/>
                    </w:rPr>
                    <w:t>1、井下全区域覆盖智能传感器系统的设计研究，重庆市科技进步奖三等奖，重庆市人民政府，个人排名第7</w:t>
                  </w:r>
                </w:p>
                <w:p>
                  <w:pPr>
                    <w:widowControl/>
                    <w:spacing w:line="240" w:lineRule="exact"/>
                    <w:rPr>
                      <w:rFonts w:ascii="宋体" w:hAnsi="宋体" w:cs="宋体"/>
                      <w:spacing w:val="-12"/>
                      <w:kern w:val="0"/>
                      <w:szCs w:val="21"/>
                    </w:rPr>
                  </w:pPr>
                  <w:r>
                    <w:rPr>
                      <w:rFonts w:hint="eastAsia" w:ascii="宋体" w:hAnsi="宋体" w:cs="宋体"/>
                      <w:spacing w:val="-12"/>
                      <w:kern w:val="0"/>
                      <w:szCs w:val="21"/>
                    </w:rPr>
                    <w:t>2、井下全区域覆盖智能传感器系统的设计研究，科技成果奖-三等奖，中国煤炭科工集团有限公司，个人排名第7</w:t>
                  </w:r>
                </w:p>
                <w:p>
                  <w:pPr>
                    <w:widowControl/>
                    <w:spacing w:line="240" w:lineRule="exact"/>
                    <w:rPr>
                      <w:rFonts w:ascii="宋体" w:hAnsi="宋体" w:cs="宋体"/>
                      <w:spacing w:val="-12"/>
                      <w:kern w:val="0"/>
                      <w:szCs w:val="21"/>
                    </w:rPr>
                  </w:pPr>
                </w:p>
              </w:tc>
            </w:tr>
            <w:tr>
              <w:tblPrEx>
                <w:tblCellMar>
                  <w:top w:w="0" w:type="dxa"/>
                  <w:left w:w="0" w:type="dxa"/>
                  <w:bottom w:w="0" w:type="dxa"/>
                  <w:right w:w="0" w:type="dxa"/>
                </w:tblCellMar>
              </w:tblPrEx>
              <w:trPr>
                <w:trHeight w:val="227" w:hRule="atLeast"/>
              </w:trPr>
              <w:tc>
                <w:tcPr>
                  <w:tcW w:w="415"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jc w:val="center"/>
                    <w:rPr>
                      <w:rFonts w:ascii="宋体" w:hAnsi="宋体" w:cs="宋体"/>
                      <w:spacing w:val="-12"/>
                      <w:kern w:val="0"/>
                      <w:szCs w:val="21"/>
                    </w:rPr>
                  </w:pPr>
                  <w:r>
                    <w:rPr>
                      <w:rFonts w:hint="eastAsia" w:ascii="宋体" w:hAnsi="宋体" w:cs="宋体"/>
                      <w:spacing w:val="-12"/>
                      <w:kern w:val="0"/>
                      <w:szCs w:val="21"/>
                    </w:rPr>
                    <w:t>3</w:t>
                  </w:r>
                </w:p>
              </w:tc>
              <w:tc>
                <w:tcPr>
                  <w:tcW w:w="721"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rPr>
                      <w:rFonts w:ascii="宋体" w:hAnsi="宋体" w:cs="宋体"/>
                      <w:spacing w:val="-12"/>
                      <w:kern w:val="0"/>
                      <w:szCs w:val="21"/>
                    </w:rPr>
                  </w:pPr>
                  <w:r>
                    <w:rPr>
                      <w:rFonts w:hint="eastAsia" w:ascii="宋体" w:hAnsi="宋体" w:cs="宋体"/>
                      <w:spacing w:val="-12"/>
                      <w:kern w:val="0"/>
                      <w:szCs w:val="21"/>
                    </w:rPr>
                    <w:t>于庆</w:t>
                  </w:r>
                </w:p>
              </w:tc>
              <w:tc>
                <w:tcPr>
                  <w:tcW w:w="1923" w:type="pct"/>
                  <w:tcBorders>
                    <w:top w:val="single" w:color="0A3DCC" w:sz="6" w:space="0"/>
                    <w:left w:val="single" w:color="0A3DCC" w:sz="6" w:space="0"/>
                    <w:bottom w:val="single" w:color="0A3DCC" w:sz="6" w:space="0"/>
                    <w:right w:val="single" w:color="0A3DCC" w:sz="6" w:space="0"/>
                  </w:tcBorders>
                  <w:shd w:val="clear" w:color="auto" w:fill="F5F8FC"/>
                  <w:tcMar>
                    <w:top w:w="72" w:type="dxa"/>
                    <w:left w:w="144" w:type="dxa"/>
                    <w:bottom w:w="72" w:type="dxa"/>
                    <w:right w:w="144" w:type="dxa"/>
                  </w:tcMar>
                  <w:vAlign w:val="center"/>
                </w:tcPr>
                <w:p>
                  <w:pPr>
                    <w:widowControl/>
                    <w:spacing w:line="240" w:lineRule="exact"/>
                    <w:rPr>
                      <w:rFonts w:ascii="宋体" w:hAnsi="宋体" w:cs="宋体"/>
                      <w:spacing w:val="-12"/>
                      <w:kern w:val="0"/>
                      <w:szCs w:val="21"/>
                    </w:rPr>
                  </w:pPr>
                  <w:r>
                    <w:rPr>
                      <w:rFonts w:hint="eastAsia" w:ascii="宋体" w:hAnsi="宋体" w:cs="宋体"/>
                      <w:spacing w:val="-12"/>
                      <w:kern w:val="0"/>
                      <w:szCs w:val="21"/>
                    </w:rPr>
                    <w:t>硕士，研究员。主要从事矿山安全监测监控研发、管理工作，组织完成48项科研项目研发和23项成果转化，个人取得9项荣誉称号。</w:t>
                  </w:r>
                </w:p>
              </w:tc>
              <w:tc>
                <w:tcPr>
                  <w:tcW w:w="1941" w:type="pct"/>
                  <w:tcBorders>
                    <w:top w:val="single" w:color="0A3DCC" w:sz="6" w:space="0"/>
                    <w:left w:val="single" w:color="0A3DCC" w:sz="6" w:space="0"/>
                    <w:bottom w:val="single" w:color="0A3DCC" w:sz="6" w:space="0"/>
                    <w:right w:val="single" w:color="0A3DCC" w:sz="6" w:space="0"/>
                  </w:tcBorders>
                  <w:shd w:val="clear" w:color="auto" w:fill="F5F8FC"/>
                  <w:vAlign w:val="center"/>
                </w:tcPr>
                <w:p>
                  <w:pPr>
                    <w:widowControl/>
                    <w:spacing w:line="240" w:lineRule="exact"/>
                    <w:rPr>
                      <w:rFonts w:ascii="宋体" w:hAnsi="宋体" w:cs="宋体"/>
                      <w:spacing w:val="-12"/>
                      <w:kern w:val="0"/>
                      <w:szCs w:val="21"/>
                    </w:rPr>
                  </w:pPr>
                  <w:r>
                    <w:rPr>
                      <w:rFonts w:hint="eastAsia" w:ascii="宋体" w:hAnsi="宋体" w:cs="宋体"/>
                      <w:spacing w:val="-12"/>
                      <w:kern w:val="0"/>
                      <w:szCs w:val="21"/>
                    </w:rPr>
                    <w:t>1、“煤矿安全监控系统关键技术研究及应用”获重庆市科技进步奖一等奖，个人排名第2；</w:t>
                  </w:r>
                </w:p>
                <w:p>
                  <w:pPr>
                    <w:widowControl/>
                    <w:spacing w:line="240" w:lineRule="exact"/>
                    <w:rPr>
                      <w:rFonts w:ascii="宋体" w:hAnsi="宋体" w:cs="宋体"/>
                      <w:spacing w:val="-12"/>
                      <w:kern w:val="0"/>
                      <w:szCs w:val="21"/>
                    </w:rPr>
                  </w:pPr>
                  <w:r>
                    <w:rPr>
                      <w:rFonts w:hint="eastAsia" w:ascii="宋体" w:hAnsi="宋体" w:cs="宋体"/>
                      <w:spacing w:val="-12"/>
                      <w:kern w:val="0"/>
                      <w:szCs w:val="21"/>
                    </w:rPr>
                    <w:t>2、“煤矿顶板动态监测系统”获重庆市科技进步三等奖，个人排名第1；</w:t>
                  </w:r>
                </w:p>
                <w:p>
                  <w:pPr>
                    <w:widowControl/>
                    <w:spacing w:line="240" w:lineRule="exact"/>
                    <w:rPr>
                      <w:rFonts w:ascii="宋体" w:hAnsi="宋体" w:cs="宋体"/>
                      <w:spacing w:val="-12"/>
                      <w:kern w:val="0"/>
                      <w:szCs w:val="21"/>
                    </w:rPr>
                  </w:pPr>
                  <w:r>
                    <w:rPr>
                      <w:rFonts w:hint="eastAsia" w:ascii="宋体" w:hAnsi="宋体" w:cs="宋体"/>
                      <w:spacing w:val="-12"/>
                      <w:kern w:val="0"/>
                      <w:szCs w:val="21"/>
                    </w:rPr>
                    <w:t>3、半导体照明产品关键技术及工程应用研究”获重庆市科技进步三等奖，个人排名第5；</w:t>
                  </w:r>
                </w:p>
                <w:p>
                  <w:pPr>
                    <w:widowControl/>
                    <w:spacing w:line="240" w:lineRule="exact"/>
                    <w:rPr>
                      <w:rFonts w:ascii="宋体" w:hAnsi="宋体" w:cs="宋体"/>
                      <w:spacing w:val="-12"/>
                      <w:kern w:val="0"/>
                      <w:szCs w:val="21"/>
                    </w:rPr>
                  </w:pPr>
                  <w:r>
                    <w:rPr>
                      <w:rFonts w:hint="eastAsia" w:ascii="宋体" w:hAnsi="宋体" w:cs="宋体"/>
                      <w:spacing w:val="-12"/>
                      <w:kern w:val="0"/>
                      <w:szCs w:val="21"/>
                    </w:rPr>
                    <w:t>4、“KJ90CF型瓦斯抽采（放）计量监控系统”获煤炭工业协会科学技术三等奖，个人排名第1；</w:t>
                  </w:r>
                </w:p>
                <w:p>
                  <w:pPr>
                    <w:widowControl/>
                    <w:spacing w:line="240" w:lineRule="exact"/>
                    <w:rPr>
                      <w:rFonts w:ascii="宋体" w:hAnsi="宋体" w:cs="宋体"/>
                      <w:spacing w:val="-12"/>
                      <w:kern w:val="0"/>
                      <w:szCs w:val="21"/>
                    </w:rPr>
                  </w:pPr>
                  <w:r>
                    <w:rPr>
                      <w:rFonts w:hint="eastAsia" w:ascii="宋体" w:hAnsi="宋体" w:cs="宋体"/>
                      <w:spacing w:val="-12"/>
                      <w:kern w:val="0"/>
                      <w:szCs w:val="21"/>
                    </w:rPr>
                    <w:t>5、“瓦斯抽放监控系统”获第五届安全生产科技成果三等奖，个人排名第1；</w:t>
                  </w:r>
                </w:p>
                <w:p>
                  <w:pPr>
                    <w:widowControl/>
                    <w:spacing w:line="240" w:lineRule="exact"/>
                    <w:rPr>
                      <w:rFonts w:ascii="宋体" w:hAnsi="宋体" w:cs="宋体"/>
                      <w:spacing w:val="-12"/>
                      <w:kern w:val="0"/>
                      <w:szCs w:val="21"/>
                    </w:rPr>
                  </w:pPr>
                  <w:r>
                    <w:rPr>
                      <w:rFonts w:hint="eastAsia" w:ascii="宋体" w:hAnsi="宋体" w:cs="宋体"/>
                      <w:spacing w:val="-12"/>
                      <w:kern w:val="0"/>
                      <w:szCs w:val="21"/>
                    </w:rPr>
                    <w:t>6、产品“KJ30型瓦斯抽放监控系统”获重庆市优秀新产品二等奖，个人排名第1；</w:t>
                  </w:r>
                </w:p>
                <w:p>
                  <w:pPr>
                    <w:widowControl/>
                    <w:spacing w:line="240" w:lineRule="exact"/>
                    <w:rPr>
                      <w:rFonts w:ascii="宋体" w:hAnsi="宋体" w:cs="宋体"/>
                      <w:spacing w:val="-12"/>
                      <w:kern w:val="0"/>
                      <w:szCs w:val="21"/>
                    </w:rPr>
                  </w:pPr>
                  <w:r>
                    <w:rPr>
                      <w:rFonts w:hint="eastAsia" w:ascii="宋体" w:hAnsi="宋体" w:cs="宋体"/>
                      <w:spacing w:val="-12"/>
                      <w:kern w:val="0"/>
                      <w:szCs w:val="21"/>
                    </w:rPr>
                    <w:t>7、团队获重庆市九龙坡区“十佳技术创新团队”，个人排名第2；</w:t>
                  </w:r>
                </w:p>
                <w:p>
                  <w:pPr>
                    <w:widowControl/>
                    <w:spacing w:line="240" w:lineRule="exact"/>
                    <w:rPr>
                      <w:rFonts w:ascii="宋体" w:hAnsi="宋体" w:cs="宋体"/>
                      <w:spacing w:val="-12"/>
                      <w:kern w:val="0"/>
                      <w:szCs w:val="21"/>
                    </w:rPr>
                  </w:pPr>
                  <w:r>
                    <w:rPr>
                      <w:rFonts w:hint="eastAsia" w:ascii="宋体" w:hAnsi="宋体" w:cs="宋体"/>
                      <w:spacing w:val="-12"/>
                      <w:kern w:val="0"/>
                      <w:szCs w:val="21"/>
                    </w:rPr>
                    <w:t>8、“大柳塔煤矿5-2煤主井胶带机防灭火系统”获中国煤炭科工集团科技成果三等奖，个人排名第2；</w:t>
                  </w:r>
                </w:p>
                <w:p>
                  <w:pPr>
                    <w:widowControl/>
                    <w:spacing w:line="240" w:lineRule="exact"/>
                    <w:rPr>
                      <w:rFonts w:ascii="宋体" w:hAnsi="宋体" w:cs="宋体"/>
                      <w:spacing w:val="-12"/>
                      <w:kern w:val="0"/>
                      <w:szCs w:val="21"/>
                    </w:rPr>
                  </w:pPr>
                  <w:r>
                    <w:rPr>
                      <w:rFonts w:hint="eastAsia" w:ascii="宋体" w:hAnsi="宋体" w:cs="宋体"/>
                      <w:spacing w:val="-12"/>
                      <w:kern w:val="0"/>
                      <w:szCs w:val="21"/>
                    </w:rPr>
                    <w:t>9、“井下全区域覆盖智能传感器系统的设计研究”获中国煤炭科工集团科技成果三等奖，个人排名第1。</w:t>
                  </w:r>
                </w:p>
                <w:p>
                  <w:pPr>
                    <w:widowControl/>
                    <w:spacing w:line="240" w:lineRule="exact"/>
                    <w:rPr>
                      <w:rFonts w:ascii="宋体" w:hAnsi="宋体" w:cs="宋体"/>
                      <w:spacing w:val="-12"/>
                      <w:kern w:val="0"/>
                      <w:szCs w:val="21"/>
                    </w:rPr>
                  </w:pPr>
                </w:p>
              </w:tc>
            </w:tr>
          </w:tbl>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740011F-C005-44D2-9196-22C8A948689A}"/>
  </w:font>
  <w:font w:name="黑体">
    <w:panose1 w:val="02010609060101010101"/>
    <w:charset w:val="86"/>
    <w:family w:val="auto"/>
    <w:pitch w:val="default"/>
    <w:sig w:usb0="800002BF" w:usb1="38CF7CFA" w:usb2="00000016" w:usb3="00000000" w:csb0="00040001" w:csb1="00000000"/>
    <w:embedRegular r:id="rId2" w:fontKey="{4F7BF455-9896-413B-B96A-3CC8B827582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embedRegular r:id="rId3" w:fontKey="{491CB3E4-B291-4B3F-BB74-4410E724454D}"/>
  </w:font>
  <w:font w:name="仿宋">
    <w:panose1 w:val="02010609060101010101"/>
    <w:charset w:val="86"/>
    <w:family w:val="auto"/>
    <w:pitch w:val="default"/>
    <w:sig w:usb0="800002BF" w:usb1="38CF7CFA" w:usb2="00000016" w:usb3="00000000" w:csb0="00040001" w:csb1="00000000"/>
    <w:embedRegular r:id="rId4" w:fontKey="{F6E5001C-6157-4477-883C-3A870C267866}"/>
  </w:font>
  <w:font w:name="方正小标宋简体">
    <w:panose1 w:val="02000000000000000000"/>
    <w:charset w:val="86"/>
    <w:family w:val="script"/>
    <w:pitch w:val="default"/>
    <w:sig w:usb0="00000001" w:usb1="08000000" w:usb2="00000000" w:usb3="00000000" w:csb0="00040000" w:csb1="00000000"/>
    <w:embedRegular r:id="rId5" w:fontKey="{0B22AC3B-8325-47DE-9202-5E448B28F0F7}"/>
  </w:font>
  <w:font w:name="楷体_GB2312">
    <w:altName w:val="楷体"/>
    <w:panose1 w:val="00000000000000000000"/>
    <w:charset w:val="86"/>
    <w:family w:val="modern"/>
    <w:pitch w:val="default"/>
    <w:sig w:usb0="00000000" w:usb1="00000000" w:usb2="00000010" w:usb3="00000000" w:csb0="00040000" w:csb1="00000000"/>
    <w:embedRegular r:id="rId6" w:fontKey="{A499E559-B462-4187-99A7-6C1183F903E9}"/>
  </w:font>
  <w:font w:name="楷体">
    <w:panose1 w:val="02010609060101010101"/>
    <w:charset w:val="86"/>
    <w:family w:val="auto"/>
    <w:pitch w:val="default"/>
    <w:sig w:usb0="800002BF" w:usb1="38CF7CFA" w:usb2="00000016" w:usb3="00000000" w:csb0="00040001" w:csb1="00000000"/>
    <w:embedRegular r:id="rId7" w:fontKey="{7F433073-3CCA-4486-A55E-D30CADD91FC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E543A6"/>
    <w:multiLevelType w:val="multilevel"/>
    <w:tmpl w:val="0DE543A6"/>
    <w:lvl w:ilvl="0" w:tentative="0">
      <w:start w:val="1"/>
      <w:numFmt w:val="decimal"/>
      <w:lvlText w:val="%1."/>
      <w:lvlJc w:val="left"/>
      <w:pPr>
        <w:ind w:left="902" w:hanging="360"/>
      </w:pPr>
      <w:rPr>
        <w:rFonts w:hint="default"/>
      </w:rPr>
    </w:lvl>
    <w:lvl w:ilvl="1" w:tentative="0">
      <w:start w:val="1"/>
      <w:numFmt w:val="lowerLetter"/>
      <w:lvlText w:val="%2)"/>
      <w:lvlJc w:val="left"/>
      <w:pPr>
        <w:ind w:left="1382" w:hanging="420"/>
      </w:pPr>
    </w:lvl>
    <w:lvl w:ilvl="2" w:tentative="0">
      <w:start w:val="1"/>
      <w:numFmt w:val="lowerRoman"/>
      <w:lvlText w:val="%3."/>
      <w:lvlJc w:val="right"/>
      <w:pPr>
        <w:ind w:left="1802" w:hanging="420"/>
      </w:pPr>
    </w:lvl>
    <w:lvl w:ilvl="3" w:tentative="0">
      <w:start w:val="1"/>
      <w:numFmt w:val="decimal"/>
      <w:lvlText w:val="%4."/>
      <w:lvlJc w:val="left"/>
      <w:pPr>
        <w:ind w:left="2222" w:hanging="420"/>
      </w:pPr>
    </w:lvl>
    <w:lvl w:ilvl="4" w:tentative="0">
      <w:start w:val="1"/>
      <w:numFmt w:val="lowerLetter"/>
      <w:lvlText w:val="%5)"/>
      <w:lvlJc w:val="left"/>
      <w:pPr>
        <w:ind w:left="2642" w:hanging="420"/>
      </w:pPr>
    </w:lvl>
    <w:lvl w:ilvl="5" w:tentative="0">
      <w:start w:val="1"/>
      <w:numFmt w:val="lowerRoman"/>
      <w:lvlText w:val="%6."/>
      <w:lvlJc w:val="right"/>
      <w:pPr>
        <w:ind w:left="3062" w:hanging="420"/>
      </w:pPr>
    </w:lvl>
    <w:lvl w:ilvl="6" w:tentative="0">
      <w:start w:val="1"/>
      <w:numFmt w:val="decimal"/>
      <w:lvlText w:val="%7."/>
      <w:lvlJc w:val="left"/>
      <w:pPr>
        <w:ind w:left="3482" w:hanging="420"/>
      </w:pPr>
    </w:lvl>
    <w:lvl w:ilvl="7" w:tentative="0">
      <w:start w:val="1"/>
      <w:numFmt w:val="lowerLetter"/>
      <w:lvlText w:val="%8)"/>
      <w:lvlJc w:val="left"/>
      <w:pPr>
        <w:ind w:left="3902" w:hanging="420"/>
      </w:pPr>
    </w:lvl>
    <w:lvl w:ilvl="8" w:tentative="0">
      <w:start w:val="1"/>
      <w:numFmt w:val="lowerRoman"/>
      <w:lvlText w:val="%9."/>
      <w:lvlJc w:val="right"/>
      <w:pPr>
        <w:ind w:left="4322" w:hanging="420"/>
      </w:pPr>
    </w:lvl>
  </w:abstractNum>
  <w:abstractNum w:abstractNumId="1">
    <w:nsid w:val="7946409C"/>
    <w:multiLevelType w:val="multilevel"/>
    <w:tmpl w:val="7946409C"/>
    <w:lvl w:ilvl="0" w:tentative="0">
      <w:start w:val="1"/>
      <w:numFmt w:val="decimal"/>
      <w:lvlText w:val="%1."/>
      <w:lvlJc w:val="left"/>
      <w:pPr>
        <w:ind w:left="902" w:hanging="360"/>
      </w:pPr>
      <w:rPr>
        <w:rFonts w:hint="default"/>
      </w:rPr>
    </w:lvl>
    <w:lvl w:ilvl="1" w:tentative="0">
      <w:start w:val="1"/>
      <w:numFmt w:val="lowerLetter"/>
      <w:lvlText w:val="%2)"/>
      <w:lvlJc w:val="left"/>
      <w:pPr>
        <w:ind w:left="1382" w:hanging="420"/>
      </w:pPr>
    </w:lvl>
    <w:lvl w:ilvl="2" w:tentative="0">
      <w:start w:val="1"/>
      <w:numFmt w:val="lowerRoman"/>
      <w:lvlText w:val="%3."/>
      <w:lvlJc w:val="right"/>
      <w:pPr>
        <w:ind w:left="1802" w:hanging="420"/>
      </w:pPr>
    </w:lvl>
    <w:lvl w:ilvl="3" w:tentative="0">
      <w:start w:val="1"/>
      <w:numFmt w:val="decimal"/>
      <w:lvlText w:val="%4."/>
      <w:lvlJc w:val="left"/>
      <w:pPr>
        <w:ind w:left="2222" w:hanging="420"/>
      </w:pPr>
    </w:lvl>
    <w:lvl w:ilvl="4" w:tentative="0">
      <w:start w:val="1"/>
      <w:numFmt w:val="lowerLetter"/>
      <w:lvlText w:val="%5)"/>
      <w:lvlJc w:val="left"/>
      <w:pPr>
        <w:ind w:left="2642" w:hanging="420"/>
      </w:pPr>
    </w:lvl>
    <w:lvl w:ilvl="5" w:tentative="0">
      <w:start w:val="1"/>
      <w:numFmt w:val="lowerRoman"/>
      <w:lvlText w:val="%6."/>
      <w:lvlJc w:val="right"/>
      <w:pPr>
        <w:ind w:left="3062" w:hanging="420"/>
      </w:pPr>
    </w:lvl>
    <w:lvl w:ilvl="6" w:tentative="0">
      <w:start w:val="1"/>
      <w:numFmt w:val="decimal"/>
      <w:lvlText w:val="%7."/>
      <w:lvlJc w:val="left"/>
      <w:pPr>
        <w:ind w:left="3482" w:hanging="420"/>
      </w:pPr>
    </w:lvl>
    <w:lvl w:ilvl="7" w:tentative="0">
      <w:start w:val="1"/>
      <w:numFmt w:val="lowerLetter"/>
      <w:lvlText w:val="%8)"/>
      <w:lvlJc w:val="left"/>
      <w:pPr>
        <w:ind w:left="3902" w:hanging="420"/>
      </w:pPr>
    </w:lvl>
    <w:lvl w:ilvl="8" w:tentative="0">
      <w:start w:val="1"/>
      <w:numFmt w:val="lowerRoman"/>
      <w:lvlText w:val="%9."/>
      <w:lvlJc w:val="right"/>
      <w:pPr>
        <w:ind w:left="4322"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4C6"/>
    <w:rsid w:val="00007B8B"/>
    <w:rsid w:val="0001133C"/>
    <w:rsid w:val="00014BBD"/>
    <w:rsid w:val="0002119E"/>
    <w:rsid w:val="00027B81"/>
    <w:rsid w:val="0005466C"/>
    <w:rsid w:val="00066CAE"/>
    <w:rsid w:val="000673B6"/>
    <w:rsid w:val="00095179"/>
    <w:rsid w:val="000A1D50"/>
    <w:rsid w:val="000B02D3"/>
    <w:rsid w:val="000B1041"/>
    <w:rsid w:val="000B753E"/>
    <w:rsid w:val="000C56B2"/>
    <w:rsid w:val="000D0EFF"/>
    <w:rsid w:val="000D3957"/>
    <w:rsid w:val="000D3CF3"/>
    <w:rsid w:val="000E3877"/>
    <w:rsid w:val="000E4B27"/>
    <w:rsid w:val="000E5167"/>
    <w:rsid w:val="00100813"/>
    <w:rsid w:val="00110525"/>
    <w:rsid w:val="00110998"/>
    <w:rsid w:val="001160CD"/>
    <w:rsid w:val="001460D6"/>
    <w:rsid w:val="00150C41"/>
    <w:rsid w:val="001525A6"/>
    <w:rsid w:val="0015746F"/>
    <w:rsid w:val="00161F8C"/>
    <w:rsid w:val="00167CCC"/>
    <w:rsid w:val="00180B72"/>
    <w:rsid w:val="001938FB"/>
    <w:rsid w:val="001C5691"/>
    <w:rsid w:val="001C6694"/>
    <w:rsid w:val="001E2DFA"/>
    <w:rsid w:val="001F10D5"/>
    <w:rsid w:val="00200A24"/>
    <w:rsid w:val="002048BF"/>
    <w:rsid w:val="002061E1"/>
    <w:rsid w:val="00212A6E"/>
    <w:rsid w:val="002341F0"/>
    <w:rsid w:val="00245520"/>
    <w:rsid w:val="00247CC4"/>
    <w:rsid w:val="00251159"/>
    <w:rsid w:val="00253A83"/>
    <w:rsid w:val="00254C6E"/>
    <w:rsid w:val="00255F38"/>
    <w:rsid w:val="0027791D"/>
    <w:rsid w:val="00283DA9"/>
    <w:rsid w:val="00285F7F"/>
    <w:rsid w:val="00290868"/>
    <w:rsid w:val="0029566C"/>
    <w:rsid w:val="002C0F88"/>
    <w:rsid w:val="002E366E"/>
    <w:rsid w:val="002E3F72"/>
    <w:rsid w:val="002F0D81"/>
    <w:rsid w:val="002F625C"/>
    <w:rsid w:val="00300297"/>
    <w:rsid w:val="003052AC"/>
    <w:rsid w:val="0031047F"/>
    <w:rsid w:val="00312558"/>
    <w:rsid w:val="003260AA"/>
    <w:rsid w:val="00331857"/>
    <w:rsid w:val="00331CAD"/>
    <w:rsid w:val="00332441"/>
    <w:rsid w:val="0034147C"/>
    <w:rsid w:val="0034314E"/>
    <w:rsid w:val="003469AA"/>
    <w:rsid w:val="00353184"/>
    <w:rsid w:val="00377C81"/>
    <w:rsid w:val="00381B19"/>
    <w:rsid w:val="00382455"/>
    <w:rsid w:val="00384C66"/>
    <w:rsid w:val="00386397"/>
    <w:rsid w:val="00390A82"/>
    <w:rsid w:val="003A2D4B"/>
    <w:rsid w:val="003B4AF2"/>
    <w:rsid w:val="003C51F0"/>
    <w:rsid w:val="003C6DD9"/>
    <w:rsid w:val="003D08E4"/>
    <w:rsid w:val="003E4D9D"/>
    <w:rsid w:val="00405882"/>
    <w:rsid w:val="004132BD"/>
    <w:rsid w:val="00420818"/>
    <w:rsid w:val="004300C7"/>
    <w:rsid w:val="00433DFF"/>
    <w:rsid w:val="00434888"/>
    <w:rsid w:val="004513D2"/>
    <w:rsid w:val="00457520"/>
    <w:rsid w:val="00463A20"/>
    <w:rsid w:val="004704AD"/>
    <w:rsid w:val="00472DAD"/>
    <w:rsid w:val="00481B5A"/>
    <w:rsid w:val="004830B4"/>
    <w:rsid w:val="004935F4"/>
    <w:rsid w:val="004A117D"/>
    <w:rsid w:val="004A2D57"/>
    <w:rsid w:val="004A39BE"/>
    <w:rsid w:val="004B42CC"/>
    <w:rsid w:val="004C2469"/>
    <w:rsid w:val="004C684E"/>
    <w:rsid w:val="004E127A"/>
    <w:rsid w:val="004E3D59"/>
    <w:rsid w:val="004F258A"/>
    <w:rsid w:val="004F4E96"/>
    <w:rsid w:val="005060CF"/>
    <w:rsid w:val="00510EB4"/>
    <w:rsid w:val="005116C8"/>
    <w:rsid w:val="005148BB"/>
    <w:rsid w:val="00514E2C"/>
    <w:rsid w:val="00520C5F"/>
    <w:rsid w:val="0052442F"/>
    <w:rsid w:val="00525143"/>
    <w:rsid w:val="00525EE1"/>
    <w:rsid w:val="00536E35"/>
    <w:rsid w:val="0054109D"/>
    <w:rsid w:val="00542AE1"/>
    <w:rsid w:val="00562118"/>
    <w:rsid w:val="005668FA"/>
    <w:rsid w:val="00580B45"/>
    <w:rsid w:val="005B074B"/>
    <w:rsid w:val="005D64F2"/>
    <w:rsid w:val="005E3411"/>
    <w:rsid w:val="005E570A"/>
    <w:rsid w:val="005F08A4"/>
    <w:rsid w:val="005F1A22"/>
    <w:rsid w:val="00602318"/>
    <w:rsid w:val="00605B3A"/>
    <w:rsid w:val="0061271A"/>
    <w:rsid w:val="00623342"/>
    <w:rsid w:val="00634CC4"/>
    <w:rsid w:val="00642594"/>
    <w:rsid w:val="00646AB9"/>
    <w:rsid w:val="006506AC"/>
    <w:rsid w:val="00657F3D"/>
    <w:rsid w:val="0067287C"/>
    <w:rsid w:val="00687528"/>
    <w:rsid w:val="00691EA6"/>
    <w:rsid w:val="0069445E"/>
    <w:rsid w:val="00697E94"/>
    <w:rsid w:val="006A183E"/>
    <w:rsid w:val="006A1A08"/>
    <w:rsid w:val="006A2594"/>
    <w:rsid w:val="006A5115"/>
    <w:rsid w:val="006B05E8"/>
    <w:rsid w:val="006C0490"/>
    <w:rsid w:val="006D1408"/>
    <w:rsid w:val="006D1F05"/>
    <w:rsid w:val="006D486A"/>
    <w:rsid w:val="006D5A63"/>
    <w:rsid w:val="006E3249"/>
    <w:rsid w:val="00700D0C"/>
    <w:rsid w:val="00705A98"/>
    <w:rsid w:val="0071767F"/>
    <w:rsid w:val="007204C0"/>
    <w:rsid w:val="00721F8D"/>
    <w:rsid w:val="0072246D"/>
    <w:rsid w:val="00725E04"/>
    <w:rsid w:val="00730188"/>
    <w:rsid w:val="007464BF"/>
    <w:rsid w:val="00752FC0"/>
    <w:rsid w:val="0076022F"/>
    <w:rsid w:val="007703D3"/>
    <w:rsid w:val="007744B6"/>
    <w:rsid w:val="00781E7F"/>
    <w:rsid w:val="007831C9"/>
    <w:rsid w:val="007C2657"/>
    <w:rsid w:val="007C67CA"/>
    <w:rsid w:val="007D1DA6"/>
    <w:rsid w:val="007D6D8C"/>
    <w:rsid w:val="007E0C2F"/>
    <w:rsid w:val="007E3C0B"/>
    <w:rsid w:val="007E3D45"/>
    <w:rsid w:val="007E63B5"/>
    <w:rsid w:val="007F613E"/>
    <w:rsid w:val="00833082"/>
    <w:rsid w:val="00837C50"/>
    <w:rsid w:val="00845483"/>
    <w:rsid w:val="00864048"/>
    <w:rsid w:val="00867B0C"/>
    <w:rsid w:val="0088071D"/>
    <w:rsid w:val="00884F4D"/>
    <w:rsid w:val="00886F84"/>
    <w:rsid w:val="00895DAA"/>
    <w:rsid w:val="008A06B4"/>
    <w:rsid w:val="008C038A"/>
    <w:rsid w:val="008D6064"/>
    <w:rsid w:val="008D7EE7"/>
    <w:rsid w:val="008E1DC6"/>
    <w:rsid w:val="00917361"/>
    <w:rsid w:val="00917CBA"/>
    <w:rsid w:val="0092114E"/>
    <w:rsid w:val="00921B99"/>
    <w:rsid w:val="00923D52"/>
    <w:rsid w:val="009325F3"/>
    <w:rsid w:val="00933813"/>
    <w:rsid w:val="00934F10"/>
    <w:rsid w:val="009436B9"/>
    <w:rsid w:val="009463D7"/>
    <w:rsid w:val="00946CCB"/>
    <w:rsid w:val="0095570F"/>
    <w:rsid w:val="00957533"/>
    <w:rsid w:val="009628C0"/>
    <w:rsid w:val="00974840"/>
    <w:rsid w:val="00977D0F"/>
    <w:rsid w:val="009855BA"/>
    <w:rsid w:val="00986713"/>
    <w:rsid w:val="00997236"/>
    <w:rsid w:val="009A1959"/>
    <w:rsid w:val="009C5AE0"/>
    <w:rsid w:val="009D627C"/>
    <w:rsid w:val="009F0851"/>
    <w:rsid w:val="009F2855"/>
    <w:rsid w:val="009F2C87"/>
    <w:rsid w:val="009F44B6"/>
    <w:rsid w:val="009F5B87"/>
    <w:rsid w:val="00A04C20"/>
    <w:rsid w:val="00A0638B"/>
    <w:rsid w:val="00A108BA"/>
    <w:rsid w:val="00A12824"/>
    <w:rsid w:val="00A13353"/>
    <w:rsid w:val="00A52E55"/>
    <w:rsid w:val="00A7350B"/>
    <w:rsid w:val="00A930BB"/>
    <w:rsid w:val="00A94941"/>
    <w:rsid w:val="00A97528"/>
    <w:rsid w:val="00AA5EC7"/>
    <w:rsid w:val="00AC640D"/>
    <w:rsid w:val="00AD2F33"/>
    <w:rsid w:val="00AD3FA2"/>
    <w:rsid w:val="00B04526"/>
    <w:rsid w:val="00B07735"/>
    <w:rsid w:val="00B14629"/>
    <w:rsid w:val="00B15B87"/>
    <w:rsid w:val="00B16565"/>
    <w:rsid w:val="00B172D5"/>
    <w:rsid w:val="00B244B1"/>
    <w:rsid w:val="00B43D95"/>
    <w:rsid w:val="00B441E5"/>
    <w:rsid w:val="00B62270"/>
    <w:rsid w:val="00B86F89"/>
    <w:rsid w:val="00B91B3B"/>
    <w:rsid w:val="00BA0D1A"/>
    <w:rsid w:val="00BA760E"/>
    <w:rsid w:val="00BB33AD"/>
    <w:rsid w:val="00BC5A33"/>
    <w:rsid w:val="00BD084D"/>
    <w:rsid w:val="00BD262F"/>
    <w:rsid w:val="00BD31E9"/>
    <w:rsid w:val="00C02EDA"/>
    <w:rsid w:val="00C03D59"/>
    <w:rsid w:val="00C11E6D"/>
    <w:rsid w:val="00C202AB"/>
    <w:rsid w:val="00C20A01"/>
    <w:rsid w:val="00C27B0A"/>
    <w:rsid w:val="00C32FCE"/>
    <w:rsid w:val="00C34D4B"/>
    <w:rsid w:val="00C36F67"/>
    <w:rsid w:val="00C46602"/>
    <w:rsid w:val="00C50C94"/>
    <w:rsid w:val="00C53A96"/>
    <w:rsid w:val="00C74765"/>
    <w:rsid w:val="00C77896"/>
    <w:rsid w:val="00C87A4F"/>
    <w:rsid w:val="00C94661"/>
    <w:rsid w:val="00C961D6"/>
    <w:rsid w:val="00CA20D7"/>
    <w:rsid w:val="00CA760E"/>
    <w:rsid w:val="00CB4F7E"/>
    <w:rsid w:val="00CF0240"/>
    <w:rsid w:val="00CF12B1"/>
    <w:rsid w:val="00CF4BE3"/>
    <w:rsid w:val="00D02FED"/>
    <w:rsid w:val="00D16008"/>
    <w:rsid w:val="00D17A79"/>
    <w:rsid w:val="00D241E8"/>
    <w:rsid w:val="00D41D8E"/>
    <w:rsid w:val="00D4648B"/>
    <w:rsid w:val="00D468DC"/>
    <w:rsid w:val="00D608F0"/>
    <w:rsid w:val="00D65BB8"/>
    <w:rsid w:val="00D72E3D"/>
    <w:rsid w:val="00D83797"/>
    <w:rsid w:val="00D921DE"/>
    <w:rsid w:val="00DA6456"/>
    <w:rsid w:val="00DB53AE"/>
    <w:rsid w:val="00DB58EA"/>
    <w:rsid w:val="00DC0427"/>
    <w:rsid w:val="00DC4D87"/>
    <w:rsid w:val="00DC4E3C"/>
    <w:rsid w:val="00DD2FDC"/>
    <w:rsid w:val="00DD4D65"/>
    <w:rsid w:val="00DD7738"/>
    <w:rsid w:val="00DE0DD6"/>
    <w:rsid w:val="00DE5282"/>
    <w:rsid w:val="00DE7A63"/>
    <w:rsid w:val="00DF3E15"/>
    <w:rsid w:val="00DF74C6"/>
    <w:rsid w:val="00E010DD"/>
    <w:rsid w:val="00E05A16"/>
    <w:rsid w:val="00E22752"/>
    <w:rsid w:val="00E526E1"/>
    <w:rsid w:val="00E52BD8"/>
    <w:rsid w:val="00E547C6"/>
    <w:rsid w:val="00E56345"/>
    <w:rsid w:val="00E665C1"/>
    <w:rsid w:val="00E7087B"/>
    <w:rsid w:val="00E94362"/>
    <w:rsid w:val="00E945E2"/>
    <w:rsid w:val="00E979E9"/>
    <w:rsid w:val="00EA3253"/>
    <w:rsid w:val="00EA72A0"/>
    <w:rsid w:val="00EB6B36"/>
    <w:rsid w:val="00EE3659"/>
    <w:rsid w:val="00EE6652"/>
    <w:rsid w:val="00F0772B"/>
    <w:rsid w:val="00F10165"/>
    <w:rsid w:val="00F20326"/>
    <w:rsid w:val="00F230F0"/>
    <w:rsid w:val="00F30B53"/>
    <w:rsid w:val="00F3107A"/>
    <w:rsid w:val="00F316E2"/>
    <w:rsid w:val="00F319B0"/>
    <w:rsid w:val="00F41E16"/>
    <w:rsid w:val="00F531A9"/>
    <w:rsid w:val="00F657B3"/>
    <w:rsid w:val="00F71CDB"/>
    <w:rsid w:val="00FA16AF"/>
    <w:rsid w:val="00FB46F2"/>
    <w:rsid w:val="00FC44B2"/>
    <w:rsid w:val="00FD3F8B"/>
    <w:rsid w:val="00FD4962"/>
    <w:rsid w:val="00FE7348"/>
    <w:rsid w:val="09E4216B"/>
    <w:rsid w:val="1FB9BE58"/>
    <w:rsid w:val="1FBE3DDF"/>
    <w:rsid w:val="1FE386F2"/>
    <w:rsid w:val="31D749B3"/>
    <w:rsid w:val="325E4E15"/>
    <w:rsid w:val="33460590"/>
    <w:rsid w:val="3E041691"/>
    <w:rsid w:val="3F7F4469"/>
    <w:rsid w:val="5BF93228"/>
    <w:rsid w:val="61EC1AFC"/>
    <w:rsid w:val="62684C79"/>
    <w:rsid w:val="63FB3A13"/>
    <w:rsid w:val="737F2F2E"/>
    <w:rsid w:val="73FEDE4D"/>
    <w:rsid w:val="758562D1"/>
    <w:rsid w:val="77DFD8D2"/>
    <w:rsid w:val="7B6F11A8"/>
    <w:rsid w:val="7E7F53F9"/>
    <w:rsid w:val="BBB7C1BF"/>
    <w:rsid w:val="BC3D3942"/>
    <w:rsid w:val="DFF17A03"/>
    <w:rsid w:val="FDBB2D3F"/>
    <w:rsid w:val="FFEDE796"/>
    <w:rsid w:val="FFFFC9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8"/>
    <w:uiPriority w:val="0"/>
    <w:pPr>
      <w:jc w:val="left"/>
    </w:pPr>
  </w:style>
  <w:style w:type="paragraph" w:styleId="3">
    <w:name w:val="Plain Text"/>
    <w:basedOn w:val="1"/>
    <w:link w:val="17"/>
    <w:qFormat/>
    <w:uiPriority w:val="0"/>
    <w:pPr>
      <w:spacing w:line="360" w:lineRule="auto"/>
      <w:ind w:firstLine="480" w:firstLineChars="200"/>
    </w:pPr>
    <w:rPr>
      <w:rFonts w:ascii="仿宋_GB2312"/>
      <w:sz w:val="24"/>
      <w:szCs w:val="20"/>
    </w:rPr>
  </w:style>
  <w:style w:type="paragraph" w:styleId="4">
    <w:name w:val="footer"/>
    <w:basedOn w:val="1"/>
    <w:link w:val="15"/>
    <w:qFormat/>
    <w:uiPriority w:val="0"/>
    <w:pPr>
      <w:tabs>
        <w:tab w:val="center" w:pos="4153"/>
        <w:tab w:val="right" w:pos="8306"/>
      </w:tabs>
      <w:snapToGrid w:val="0"/>
      <w:jc w:val="left"/>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footnote text"/>
    <w:basedOn w:val="1"/>
    <w:semiHidden/>
    <w:qFormat/>
    <w:uiPriority w:val="0"/>
    <w:pPr>
      <w:snapToGrid w:val="0"/>
      <w:jc w:val="left"/>
    </w:pPr>
    <w:rPr>
      <w:sz w:val="18"/>
      <w:szCs w:val="18"/>
    </w:rPr>
  </w:style>
  <w:style w:type="paragraph" w:styleId="7">
    <w:name w:val="annotation subject"/>
    <w:basedOn w:val="2"/>
    <w:next w:val="2"/>
    <w:link w:val="19"/>
    <w:semiHidden/>
    <w:unhideWhenUsed/>
    <w:qFormat/>
    <w:uiPriority w:val="0"/>
    <w:rPr>
      <w:b/>
      <w:bCs/>
    </w:rPr>
  </w:style>
  <w:style w:type="table" w:styleId="9">
    <w:name w:val="Table Grid"/>
    <w:basedOn w:val="8"/>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qFormat/>
    <w:uiPriority w:val="0"/>
    <w:rPr>
      <w:sz w:val="21"/>
      <w:szCs w:val="21"/>
    </w:rPr>
  </w:style>
  <w:style w:type="character" w:styleId="12">
    <w:name w:val="footnote reference"/>
    <w:basedOn w:val="10"/>
    <w:semiHidden/>
    <w:qFormat/>
    <w:uiPriority w:val="0"/>
    <w:rPr>
      <w:vertAlign w:val="superscript"/>
    </w:rPr>
  </w:style>
  <w:style w:type="paragraph" w:customStyle="1" w:styleId="13">
    <w:name w:val="Char"/>
    <w:basedOn w:val="1"/>
    <w:next w:val="1"/>
    <w:qFormat/>
    <w:uiPriority w:val="0"/>
    <w:pPr>
      <w:spacing w:line="240" w:lineRule="atLeast"/>
      <w:ind w:left="420" w:firstLine="420"/>
      <w:jc w:val="left"/>
    </w:pPr>
    <w:rPr>
      <w:kern w:val="0"/>
      <w:szCs w:val="21"/>
    </w:rPr>
  </w:style>
  <w:style w:type="character" w:customStyle="1" w:styleId="14">
    <w:name w:val="页眉 字符"/>
    <w:basedOn w:val="10"/>
    <w:link w:val="5"/>
    <w:qFormat/>
    <w:uiPriority w:val="0"/>
    <w:rPr>
      <w:kern w:val="2"/>
      <w:sz w:val="18"/>
      <w:szCs w:val="18"/>
    </w:rPr>
  </w:style>
  <w:style w:type="character" w:customStyle="1" w:styleId="15">
    <w:name w:val="页脚 字符"/>
    <w:basedOn w:val="10"/>
    <w:link w:val="4"/>
    <w:qFormat/>
    <w:uiPriority w:val="0"/>
    <w:rPr>
      <w:kern w:val="2"/>
      <w:sz w:val="18"/>
      <w:szCs w:val="18"/>
    </w:rPr>
  </w:style>
  <w:style w:type="paragraph" w:styleId="16">
    <w:name w:val="List Paragraph"/>
    <w:basedOn w:val="1"/>
    <w:qFormat/>
    <w:uiPriority w:val="99"/>
    <w:pPr>
      <w:ind w:firstLine="420" w:firstLineChars="200"/>
    </w:pPr>
  </w:style>
  <w:style w:type="character" w:customStyle="1" w:styleId="17">
    <w:name w:val="纯文本 字符"/>
    <w:basedOn w:val="10"/>
    <w:link w:val="3"/>
    <w:qFormat/>
    <w:uiPriority w:val="0"/>
    <w:rPr>
      <w:rFonts w:ascii="仿宋_GB2312"/>
      <w:kern w:val="2"/>
      <w:sz w:val="24"/>
    </w:rPr>
  </w:style>
  <w:style w:type="character" w:customStyle="1" w:styleId="18">
    <w:name w:val="批注文字 字符"/>
    <w:basedOn w:val="10"/>
    <w:link w:val="2"/>
    <w:qFormat/>
    <w:uiPriority w:val="0"/>
    <w:rPr>
      <w:kern w:val="2"/>
      <w:sz w:val="21"/>
      <w:szCs w:val="24"/>
    </w:rPr>
  </w:style>
  <w:style w:type="character" w:customStyle="1" w:styleId="19">
    <w:name w:val="批注主题 字符"/>
    <w:basedOn w:val="18"/>
    <w:link w:val="7"/>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oleObject" Target="embeddings/oleObject1.bin"/><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AF10D7-2A74-4A05-B213-CC239601582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26</Pages>
  <Words>2227</Words>
  <Characters>12695</Characters>
  <Lines>105</Lines>
  <Paragraphs>29</Paragraphs>
  <TotalTime>0</TotalTime>
  <ScaleCrop>false</ScaleCrop>
  <LinksUpToDate>false</LinksUpToDate>
  <CharactersWithSpaces>14893</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2021-09-30T06:49:00Z</dcterms:created>
  <dc:creator>路宏波</dc:creator>
  <cp:lastModifiedBy>32897</cp:lastModifiedBy>
  <cp:lastPrinted>2020-05-02T23:32:00Z</cp:lastPrinted>
  <dcterms:modified xsi:type="dcterms:W3CDTF">2020-10-21T04:01:25Z</dcterms:modified>
  <dc:title>中国专利奖申报书（发明、实用新型）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890D76EF5D664BB7887BAA740D072A50</vt:lpwstr>
  </property>
</Properties>
</file>